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AB" w:rsidRDefault="00552446" w:rsidP="00CE79B6">
      <w:pPr>
        <w:jc w:val="center"/>
        <w:rPr>
          <w:b/>
          <w:sz w:val="32"/>
          <w:szCs w:val="32"/>
          <w:u w:val="single"/>
        </w:rPr>
      </w:pPr>
      <w:r w:rsidRPr="00552446">
        <w:rPr>
          <w:b/>
          <w:noProof/>
          <w:sz w:val="32"/>
          <w:szCs w:val="32"/>
          <w:u w:val="single"/>
          <w:lang w:eastAsia="en-GB"/>
        </w:rPr>
        <w:drawing>
          <wp:anchor distT="0" distB="0" distL="114300" distR="114300" simplePos="0" relativeHeight="251658240" behindDoc="1" locked="0" layoutInCell="1" allowOverlap="1" wp14:anchorId="4E7BE61C" wp14:editId="0237A687">
            <wp:simplePos x="0" y="0"/>
            <wp:positionH relativeFrom="column">
              <wp:posOffset>-309880</wp:posOffset>
            </wp:positionH>
            <wp:positionV relativeFrom="paragraph">
              <wp:posOffset>0</wp:posOffset>
            </wp:positionV>
            <wp:extent cx="781050" cy="857250"/>
            <wp:effectExtent l="0" t="0" r="0" b="0"/>
            <wp:wrapTight wrapText="bothSides">
              <wp:wrapPolygon edited="0">
                <wp:start x="0" y="0"/>
                <wp:lineTo x="0" y="21120"/>
                <wp:lineTo x="21073" y="21120"/>
                <wp:lineTo x="21073"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446">
        <w:rPr>
          <w:b/>
          <w:noProof/>
          <w:sz w:val="32"/>
          <w:szCs w:val="32"/>
          <w:u w:val="single"/>
          <w:lang w:eastAsia="en-GB"/>
        </w:rPr>
        <w:drawing>
          <wp:anchor distT="0" distB="0" distL="114300" distR="114300" simplePos="0" relativeHeight="251659264" behindDoc="1" locked="0" layoutInCell="1" allowOverlap="1" wp14:anchorId="408C218C" wp14:editId="5AEFCBC7">
            <wp:simplePos x="0" y="0"/>
            <wp:positionH relativeFrom="column">
              <wp:posOffset>6205220</wp:posOffset>
            </wp:positionH>
            <wp:positionV relativeFrom="paragraph">
              <wp:posOffset>0</wp:posOffset>
            </wp:positionV>
            <wp:extent cx="781050" cy="857250"/>
            <wp:effectExtent l="0" t="0" r="0" b="0"/>
            <wp:wrapTight wrapText="bothSides">
              <wp:wrapPolygon edited="0">
                <wp:start x="0" y="0"/>
                <wp:lineTo x="0" y="21120"/>
                <wp:lineTo x="21073" y="21120"/>
                <wp:lineTo x="21073"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B25">
        <w:rPr>
          <w:b/>
          <w:sz w:val="32"/>
          <w:szCs w:val="32"/>
          <w:u w:val="single"/>
        </w:rPr>
        <w:t>Pupil Premium Impact Report</w:t>
      </w:r>
      <w:r w:rsidR="00CE79B6" w:rsidRPr="00552446">
        <w:rPr>
          <w:b/>
          <w:sz w:val="32"/>
          <w:szCs w:val="32"/>
          <w:u w:val="single"/>
        </w:rPr>
        <w:t xml:space="preserve"> – St Pete</w:t>
      </w:r>
      <w:r w:rsidR="00786B25">
        <w:rPr>
          <w:b/>
          <w:sz w:val="32"/>
          <w:szCs w:val="32"/>
          <w:u w:val="single"/>
        </w:rPr>
        <w:t xml:space="preserve">r’s CE Primary, </w:t>
      </w:r>
      <w:proofErr w:type="spellStart"/>
      <w:proofErr w:type="gramStart"/>
      <w:r w:rsidR="00786B25">
        <w:rPr>
          <w:b/>
          <w:sz w:val="32"/>
          <w:szCs w:val="32"/>
          <w:u w:val="single"/>
        </w:rPr>
        <w:t>Cowfold</w:t>
      </w:r>
      <w:proofErr w:type="spellEnd"/>
      <w:r w:rsidR="00786B25">
        <w:rPr>
          <w:b/>
          <w:sz w:val="32"/>
          <w:szCs w:val="32"/>
          <w:u w:val="single"/>
        </w:rPr>
        <w:t xml:space="preserve"> </w:t>
      </w:r>
      <w:r w:rsidR="00CE79B6" w:rsidRPr="00552446">
        <w:rPr>
          <w:b/>
          <w:sz w:val="32"/>
          <w:szCs w:val="32"/>
          <w:u w:val="single"/>
        </w:rPr>
        <w:t xml:space="preserve"> </w:t>
      </w:r>
      <w:r w:rsidR="00786B25">
        <w:rPr>
          <w:b/>
          <w:sz w:val="32"/>
          <w:szCs w:val="32"/>
          <w:u w:val="single"/>
        </w:rPr>
        <w:t>Academic</w:t>
      </w:r>
      <w:proofErr w:type="gramEnd"/>
      <w:r w:rsidR="00786B25">
        <w:rPr>
          <w:b/>
          <w:sz w:val="32"/>
          <w:szCs w:val="32"/>
          <w:u w:val="single"/>
        </w:rPr>
        <w:t xml:space="preserve"> </w:t>
      </w:r>
      <w:r w:rsidR="00CE79B6" w:rsidRPr="00552446">
        <w:rPr>
          <w:b/>
          <w:sz w:val="32"/>
          <w:szCs w:val="32"/>
          <w:u w:val="single"/>
        </w:rPr>
        <w:t>Year 2017-18</w:t>
      </w:r>
    </w:p>
    <w:p w:rsidR="005D25C1" w:rsidRDefault="005D25C1" w:rsidP="00CE79B6">
      <w:pPr>
        <w:jc w:val="center"/>
        <w:rPr>
          <w:b/>
          <w:sz w:val="32"/>
          <w:szCs w:val="32"/>
          <w:u w:val="single"/>
        </w:rPr>
      </w:pPr>
    </w:p>
    <w:p w:rsidR="005D25C1" w:rsidRDefault="005D25C1" w:rsidP="005D25C1">
      <w:pPr>
        <w:rPr>
          <w:b/>
          <w:sz w:val="32"/>
          <w:szCs w:val="32"/>
          <w:u w:val="single"/>
        </w:rPr>
      </w:pPr>
      <w:r>
        <w:rPr>
          <w:b/>
          <w:sz w:val="32"/>
          <w:szCs w:val="32"/>
          <w:u w:val="single"/>
        </w:rPr>
        <w:t>2017 – 2018 ALLOCATION</w:t>
      </w:r>
    </w:p>
    <w:p w:rsidR="005D25C1" w:rsidRDefault="00A12914" w:rsidP="005D25C1">
      <w:pPr>
        <w:rPr>
          <w:sz w:val="32"/>
          <w:szCs w:val="32"/>
        </w:rPr>
      </w:pPr>
      <w:proofErr w:type="gramStart"/>
      <w:r>
        <w:rPr>
          <w:sz w:val="32"/>
          <w:szCs w:val="32"/>
        </w:rPr>
        <w:t>£17,160 – ALLOCATION for 13 pupils.</w:t>
      </w:r>
      <w:proofErr w:type="gramEnd"/>
    </w:p>
    <w:p w:rsidR="005D25C1" w:rsidRPr="00F972D7" w:rsidRDefault="005D25C1" w:rsidP="005D25C1">
      <w:pPr>
        <w:rPr>
          <w:sz w:val="16"/>
          <w:szCs w:val="16"/>
        </w:rPr>
      </w:pPr>
    </w:p>
    <w:p w:rsidR="005D25C1" w:rsidRDefault="005D25C1" w:rsidP="005D25C1">
      <w:pPr>
        <w:rPr>
          <w:b/>
          <w:sz w:val="32"/>
          <w:szCs w:val="32"/>
          <w:u w:val="single"/>
        </w:rPr>
      </w:pPr>
      <w:r>
        <w:rPr>
          <w:b/>
          <w:sz w:val="32"/>
          <w:szCs w:val="32"/>
          <w:u w:val="single"/>
        </w:rPr>
        <w:t>HOW IT WAS SPENT</w:t>
      </w:r>
    </w:p>
    <w:tbl>
      <w:tblPr>
        <w:tblStyle w:val="TableGrid"/>
        <w:tblW w:w="10627" w:type="dxa"/>
        <w:tblLook w:val="04A0" w:firstRow="1" w:lastRow="0" w:firstColumn="1" w:lastColumn="0" w:noHBand="0" w:noVBand="1"/>
      </w:tblPr>
      <w:tblGrid>
        <w:gridCol w:w="6374"/>
        <w:gridCol w:w="4253"/>
      </w:tblGrid>
      <w:tr w:rsidR="00AF7535" w:rsidTr="00AF7535">
        <w:tc>
          <w:tcPr>
            <w:tcW w:w="10627" w:type="dxa"/>
            <w:gridSpan w:val="2"/>
          </w:tcPr>
          <w:p w:rsidR="00AF7535" w:rsidRPr="004158FE" w:rsidRDefault="00AF7535" w:rsidP="0094519C">
            <w:pPr>
              <w:jc w:val="center"/>
              <w:rPr>
                <w:b/>
                <w:sz w:val="28"/>
                <w:szCs w:val="28"/>
              </w:rPr>
            </w:pPr>
            <w:r>
              <w:rPr>
                <w:b/>
                <w:sz w:val="28"/>
                <w:szCs w:val="28"/>
              </w:rPr>
              <w:t>Expenditure</w:t>
            </w:r>
          </w:p>
        </w:tc>
      </w:tr>
      <w:tr w:rsidR="00AF7535" w:rsidTr="00AF7535">
        <w:tc>
          <w:tcPr>
            <w:tcW w:w="6374" w:type="dxa"/>
          </w:tcPr>
          <w:p w:rsidR="00AF7535" w:rsidRDefault="00AF7535" w:rsidP="00AF7535">
            <w:pPr>
              <w:rPr>
                <w:sz w:val="28"/>
                <w:szCs w:val="28"/>
              </w:rPr>
            </w:pPr>
            <w:r>
              <w:rPr>
                <w:sz w:val="28"/>
                <w:szCs w:val="28"/>
              </w:rPr>
              <w:t xml:space="preserve">The bulk of our expenditure was on Teaching Assistant hours. </w:t>
            </w:r>
            <w:proofErr w:type="gramStart"/>
            <w:r>
              <w:rPr>
                <w:sz w:val="28"/>
                <w:szCs w:val="28"/>
              </w:rPr>
              <w:t>These TAs first priority</w:t>
            </w:r>
            <w:proofErr w:type="gramEnd"/>
            <w:r>
              <w:rPr>
                <w:sz w:val="28"/>
                <w:szCs w:val="28"/>
              </w:rPr>
              <w:t xml:space="preserve"> was to assist the inclusion, and support, of PP pupils in a ‘Quality First’ whole class learning experience. The emphasis has been upon class teachers delivering effective teaching and learning to all pupils including PP pupils. </w:t>
            </w:r>
          </w:p>
          <w:p w:rsidR="00AF7535" w:rsidRDefault="00AF7535" w:rsidP="00AF7535">
            <w:pPr>
              <w:rPr>
                <w:sz w:val="28"/>
                <w:szCs w:val="28"/>
              </w:rPr>
            </w:pPr>
          </w:p>
          <w:p w:rsidR="00AF7535" w:rsidRPr="00AF7535" w:rsidRDefault="00AF7535" w:rsidP="00AF7535">
            <w:pPr>
              <w:rPr>
                <w:sz w:val="28"/>
                <w:szCs w:val="28"/>
              </w:rPr>
            </w:pPr>
            <w:r>
              <w:rPr>
                <w:sz w:val="28"/>
                <w:szCs w:val="28"/>
              </w:rPr>
              <w:t>Where it has not compromised a PP child’s ‘Quality First’ whole class learning</w:t>
            </w:r>
            <w:proofErr w:type="gramStart"/>
            <w:r>
              <w:rPr>
                <w:sz w:val="28"/>
                <w:szCs w:val="28"/>
              </w:rPr>
              <w:t>,</w:t>
            </w:r>
            <w:proofErr w:type="gramEnd"/>
            <w:r>
              <w:rPr>
                <w:sz w:val="28"/>
                <w:szCs w:val="28"/>
              </w:rPr>
              <w:t xml:space="preserve"> additional interventions have also been set up with these TA hours. Details of these interventions are recorded on our TA timetable. The impact of interventions is measured using our ‘Intervention Impact Tracking Sheets’ and provision is adapted if staff feel there should/ could be more impact.</w:t>
            </w:r>
          </w:p>
        </w:tc>
        <w:tc>
          <w:tcPr>
            <w:tcW w:w="4253" w:type="dxa"/>
          </w:tcPr>
          <w:p w:rsidR="00AF7535" w:rsidRPr="00F972D7" w:rsidRDefault="00AF7535" w:rsidP="0094519C">
            <w:pPr>
              <w:rPr>
                <w:b/>
                <w:sz w:val="28"/>
                <w:szCs w:val="28"/>
              </w:rPr>
            </w:pPr>
            <w:r w:rsidRPr="00F972D7">
              <w:rPr>
                <w:b/>
                <w:sz w:val="28"/>
                <w:szCs w:val="28"/>
              </w:rPr>
              <w:t>£</w:t>
            </w:r>
            <w:r w:rsidR="00F972D7" w:rsidRPr="00F972D7">
              <w:rPr>
                <w:b/>
                <w:sz w:val="28"/>
                <w:szCs w:val="28"/>
              </w:rPr>
              <w:t>16,920</w:t>
            </w:r>
            <w:r w:rsidRPr="00F972D7">
              <w:rPr>
                <w:b/>
                <w:sz w:val="28"/>
                <w:szCs w:val="28"/>
              </w:rPr>
              <w:t xml:space="preserve"> – on support staff</w:t>
            </w:r>
          </w:p>
          <w:p w:rsidR="00AF7535" w:rsidRPr="00F972D7" w:rsidRDefault="00AF7535" w:rsidP="0094519C">
            <w:pPr>
              <w:rPr>
                <w:b/>
                <w:sz w:val="28"/>
                <w:szCs w:val="28"/>
              </w:rPr>
            </w:pPr>
          </w:p>
          <w:p w:rsidR="00AF7535" w:rsidRPr="00F972D7" w:rsidRDefault="00AF7535" w:rsidP="0094519C">
            <w:pPr>
              <w:rPr>
                <w:b/>
                <w:sz w:val="28"/>
                <w:szCs w:val="28"/>
              </w:rPr>
            </w:pPr>
            <w:r w:rsidRPr="00F972D7">
              <w:rPr>
                <w:b/>
                <w:sz w:val="28"/>
                <w:szCs w:val="28"/>
              </w:rPr>
              <w:t>£</w:t>
            </w:r>
            <w:r w:rsidR="00F972D7" w:rsidRPr="00F972D7">
              <w:rPr>
                <w:b/>
                <w:sz w:val="28"/>
                <w:szCs w:val="28"/>
              </w:rPr>
              <w:t>240</w:t>
            </w:r>
            <w:r w:rsidRPr="00F972D7">
              <w:rPr>
                <w:b/>
                <w:sz w:val="28"/>
                <w:szCs w:val="28"/>
              </w:rPr>
              <w:t xml:space="preserve"> – </w:t>
            </w:r>
            <w:r w:rsidR="00F972D7" w:rsidRPr="00F972D7">
              <w:rPr>
                <w:b/>
                <w:sz w:val="28"/>
                <w:szCs w:val="28"/>
              </w:rPr>
              <w:t>help for</w:t>
            </w:r>
            <w:r w:rsidRPr="00F972D7">
              <w:rPr>
                <w:b/>
                <w:sz w:val="28"/>
                <w:szCs w:val="28"/>
              </w:rPr>
              <w:t xml:space="preserve"> PP pupil to attend</w:t>
            </w:r>
          </w:p>
          <w:p w:rsidR="00AF7535" w:rsidRPr="00F972D7" w:rsidRDefault="00AF7535" w:rsidP="0094519C">
            <w:pPr>
              <w:rPr>
                <w:b/>
                <w:sz w:val="28"/>
                <w:szCs w:val="28"/>
              </w:rPr>
            </w:pPr>
            <w:r w:rsidRPr="00F972D7">
              <w:rPr>
                <w:b/>
                <w:sz w:val="28"/>
                <w:szCs w:val="28"/>
              </w:rPr>
              <w:t xml:space="preserve">                                  Residential trip</w:t>
            </w:r>
          </w:p>
          <w:p w:rsidR="00AF7535" w:rsidRPr="00F972D7" w:rsidRDefault="00AF7535" w:rsidP="0094519C">
            <w:pPr>
              <w:rPr>
                <w:b/>
                <w:sz w:val="28"/>
                <w:szCs w:val="28"/>
              </w:rPr>
            </w:pPr>
          </w:p>
          <w:p w:rsidR="00AF7535" w:rsidRPr="00F972D7" w:rsidRDefault="00AF7535" w:rsidP="0094519C">
            <w:pPr>
              <w:rPr>
                <w:b/>
                <w:sz w:val="28"/>
                <w:szCs w:val="28"/>
                <w:u w:val="single"/>
              </w:rPr>
            </w:pPr>
          </w:p>
        </w:tc>
      </w:tr>
      <w:tr w:rsidR="00AF7535" w:rsidTr="00AF7535">
        <w:tc>
          <w:tcPr>
            <w:tcW w:w="6374" w:type="dxa"/>
          </w:tcPr>
          <w:p w:rsidR="00AF7535" w:rsidRPr="004158FE" w:rsidRDefault="00AF7535" w:rsidP="0094519C">
            <w:pPr>
              <w:jc w:val="center"/>
              <w:rPr>
                <w:b/>
                <w:sz w:val="28"/>
                <w:szCs w:val="28"/>
              </w:rPr>
            </w:pPr>
            <w:r>
              <w:rPr>
                <w:b/>
                <w:sz w:val="28"/>
                <w:szCs w:val="28"/>
              </w:rPr>
              <w:t>Total Expenditure</w:t>
            </w:r>
          </w:p>
        </w:tc>
        <w:tc>
          <w:tcPr>
            <w:tcW w:w="4253" w:type="dxa"/>
          </w:tcPr>
          <w:p w:rsidR="00AF7535" w:rsidRPr="00F972D7" w:rsidRDefault="00AF7535" w:rsidP="0094519C">
            <w:pPr>
              <w:rPr>
                <w:b/>
                <w:sz w:val="28"/>
                <w:szCs w:val="28"/>
              </w:rPr>
            </w:pPr>
            <w:r w:rsidRPr="00F972D7">
              <w:rPr>
                <w:b/>
                <w:sz w:val="28"/>
                <w:szCs w:val="28"/>
              </w:rPr>
              <w:t>£</w:t>
            </w:r>
            <w:r w:rsidR="00F972D7" w:rsidRPr="00F972D7">
              <w:rPr>
                <w:b/>
                <w:sz w:val="28"/>
                <w:szCs w:val="28"/>
              </w:rPr>
              <w:t>17,160</w:t>
            </w:r>
          </w:p>
        </w:tc>
      </w:tr>
    </w:tbl>
    <w:p w:rsidR="00A12914" w:rsidRPr="00F972D7" w:rsidRDefault="00A12914" w:rsidP="005D25C1">
      <w:pPr>
        <w:rPr>
          <w:sz w:val="16"/>
          <w:szCs w:val="16"/>
        </w:rPr>
      </w:pPr>
    </w:p>
    <w:p w:rsidR="005D25C1" w:rsidRDefault="00786B25" w:rsidP="005D25C1">
      <w:pPr>
        <w:rPr>
          <w:b/>
          <w:sz w:val="32"/>
          <w:szCs w:val="32"/>
          <w:u w:val="single"/>
        </w:rPr>
      </w:pPr>
      <w:r>
        <w:rPr>
          <w:b/>
          <w:sz w:val="32"/>
          <w:szCs w:val="32"/>
          <w:u w:val="single"/>
        </w:rPr>
        <w:t>THE IMPACT</w:t>
      </w:r>
      <w:r w:rsidR="005D25C1">
        <w:rPr>
          <w:b/>
          <w:sz w:val="32"/>
          <w:szCs w:val="32"/>
          <w:u w:val="single"/>
        </w:rPr>
        <w:t xml:space="preserve"> ON ELIGIBLE PUPILS</w:t>
      </w:r>
    </w:p>
    <w:p w:rsidR="002D7B6A" w:rsidRPr="002D7B6A" w:rsidRDefault="002D7B6A" w:rsidP="002D7B6A">
      <w:pPr>
        <w:pStyle w:val="ListParagraph"/>
        <w:numPr>
          <w:ilvl w:val="0"/>
          <w:numId w:val="1"/>
        </w:numPr>
        <w:spacing w:after="0"/>
        <w:rPr>
          <w:b/>
          <w:sz w:val="32"/>
          <w:szCs w:val="32"/>
          <w:u w:val="single"/>
        </w:rPr>
      </w:pPr>
      <w:r w:rsidRPr="002D7B6A">
        <w:rPr>
          <w:b/>
          <w:sz w:val="32"/>
          <w:szCs w:val="32"/>
          <w:u w:val="single"/>
        </w:rPr>
        <w:t>Pupil Premium Progress – Year 6 End of KS2 SATS 2018</w:t>
      </w:r>
    </w:p>
    <w:p w:rsidR="002D7B6A" w:rsidRPr="002D7B7A" w:rsidRDefault="002D7B6A" w:rsidP="002D7B6A">
      <w:pPr>
        <w:spacing w:after="0"/>
        <w:jc w:val="center"/>
        <w:rPr>
          <w:b/>
          <w:sz w:val="16"/>
          <w:szCs w:val="16"/>
          <w:u w:val="single"/>
        </w:rPr>
      </w:pPr>
    </w:p>
    <w:p w:rsidR="002D7B6A" w:rsidRPr="00702D3B" w:rsidRDefault="00E24717" w:rsidP="002D7B6A">
      <w:pPr>
        <w:spacing w:after="0"/>
        <w:rPr>
          <w:b/>
          <w:sz w:val="32"/>
          <w:szCs w:val="32"/>
          <w:u w:val="single"/>
        </w:rPr>
      </w:pPr>
      <w:r>
        <w:rPr>
          <w:b/>
          <w:sz w:val="32"/>
          <w:szCs w:val="32"/>
          <w:u w:val="single"/>
        </w:rPr>
        <w:t>Pupil A</w:t>
      </w:r>
    </w:p>
    <w:tbl>
      <w:tblPr>
        <w:tblStyle w:val="TableGrid"/>
        <w:tblW w:w="10858" w:type="dxa"/>
        <w:tblInd w:w="-176" w:type="dxa"/>
        <w:tblLook w:val="04A0" w:firstRow="1" w:lastRow="0" w:firstColumn="1" w:lastColumn="0" w:noHBand="0" w:noVBand="1"/>
      </w:tblPr>
      <w:tblGrid>
        <w:gridCol w:w="2714"/>
        <w:gridCol w:w="2715"/>
        <w:gridCol w:w="2714"/>
        <w:gridCol w:w="2715"/>
      </w:tblGrid>
      <w:tr w:rsidR="002D7B6A" w:rsidTr="000B691A">
        <w:tc>
          <w:tcPr>
            <w:tcW w:w="2714" w:type="dxa"/>
          </w:tcPr>
          <w:p w:rsidR="002D7B6A" w:rsidRDefault="002D7B6A" w:rsidP="000B691A">
            <w:pPr>
              <w:rPr>
                <w:b/>
                <w:sz w:val="32"/>
                <w:szCs w:val="32"/>
              </w:rPr>
            </w:pPr>
            <w:r>
              <w:rPr>
                <w:b/>
                <w:sz w:val="32"/>
                <w:szCs w:val="32"/>
              </w:rPr>
              <w:t>Subject</w:t>
            </w:r>
          </w:p>
        </w:tc>
        <w:tc>
          <w:tcPr>
            <w:tcW w:w="2715" w:type="dxa"/>
          </w:tcPr>
          <w:p w:rsidR="002D7B6A" w:rsidRPr="00702D3B" w:rsidRDefault="002D7B6A" w:rsidP="000B691A">
            <w:pPr>
              <w:rPr>
                <w:b/>
                <w:sz w:val="32"/>
                <w:szCs w:val="32"/>
              </w:rPr>
            </w:pPr>
            <w:r>
              <w:rPr>
                <w:b/>
                <w:sz w:val="32"/>
                <w:szCs w:val="32"/>
              </w:rPr>
              <w:t>End of Key Stage 1 Level</w:t>
            </w:r>
          </w:p>
        </w:tc>
        <w:tc>
          <w:tcPr>
            <w:tcW w:w="2714" w:type="dxa"/>
          </w:tcPr>
          <w:p w:rsidR="002D7B6A" w:rsidRPr="00702D3B" w:rsidRDefault="002D7B6A" w:rsidP="000B691A">
            <w:pPr>
              <w:rPr>
                <w:b/>
                <w:sz w:val="32"/>
                <w:szCs w:val="32"/>
              </w:rPr>
            </w:pPr>
            <w:r w:rsidRPr="00702D3B">
              <w:rPr>
                <w:b/>
                <w:sz w:val="32"/>
                <w:szCs w:val="32"/>
              </w:rPr>
              <w:t>Year 6 SATS Result 2018</w:t>
            </w:r>
          </w:p>
        </w:tc>
        <w:tc>
          <w:tcPr>
            <w:tcW w:w="2715" w:type="dxa"/>
          </w:tcPr>
          <w:p w:rsidR="002D7B6A" w:rsidRPr="00702D3B" w:rsidRDefault="002D7B6A" w:rsidP="000B691A">
            <w:pPr>
              <w:rPr>
                <w:b/>
                <w:sz w:val="32"/>
                <w:szCs w:val="32"/>
              </w:rPr>
            </w:pPr>
            <w:r w:rsidRPr="00702D3B">
              <w:rPr>
                <w:b/>
                <w:sz w:val="32"/>
                <w:szCs w:val="32"/>
              </w:rPr>
              <w:t>Individual Progress Score</w:t>
            </w:r>
          </w:p>
        </w:tc>
      </w:tr>
      <w:tr w:rsidR="002D7B6A" w:rsidTr="000B691A">
        <w:tc>
          <w:tcPr>
            <w:tcW w:w="2714" w:type="dxa"/>
          </w:tcPr>
          <w:p w:rsidR="002D7B6A" w:rsidRDefault="002D7B6A" w:rsidP="000B691A">
            <w:pPr>
              <w:rPr>
                <w:sz w:val="32"/>
                <w:szCs w:val="32"/>
              </w:rPr>
            </w:pPr>
            <w:r>
              <w:rPr>
                <w:sz w:val="32"/>
                <w:szCs w:val="32"/>
              </w:rPr>
              <w:t>Reading</w:t>
            </w:r>
          </w:p>
        </w:tc>
        <w:tc>
          <w:tcPr>
            <w:tcW w:w="2715" w:type="dxa"/>
          </w:tcPr>
          <w:p w:rsidR="002D7B6A" w:rsidRDefault="002D7B6A" w:rsidP="000B691A">
            <w:pPr>
              <w:jc w:val="center"/>
              <w:rPr>
                <w:sz w:val="32"/>
                <w:szCs w:val="32"/>
              </w:rPr>
            </w:pPr>
            <w:r>
              <w:rPr>
                <w:sz w:val="32"/>
                <w:szCs w:val="32"/>
              </w:rPr>
              <w:t>2A</w:t>
            </w:r>
          </w:p>
        </w:tc>
        <w:tc>
          <w:tcPr>
            <w:tcW w:w="2714" w:type="dxa"/>
          </w:tcPr>
          <w:p w:rsidR="002D7B6A" w:rsidRDefault="002D7B6A" w:rsidP="000B691A">
            <w:pPr>
              <w:jc w:val="center"/>
              <w:rPr>
                <w:sz w:val="32"/>
                <w:szCs w:val="32"/>
              </w:rPr>
            </w:pPr>
            <w:r>
              <w:rPr>
                <w:sz w:val="32"/>
                <w:szCs w:val="32"/>
              </w:rPr>
              <w:t>114</w:t>
            </w:r>
          </w:p>
        </w:tc>
        <w:tc>
          <w:tcPr>
            <w:tcW w:w="2715" w:type="dxa"/>
            <w:shd w:val="clear" w:color="auto" w:fill="92D050"/>
          </w:tcPr>
          <w:p w:rsidR="002D7B6A" w:rsidRDefault="00A63C9E" w:rsidP="000B691A">
            <w:pPr>
              <w:jc w:val="center"/>
              <w:rPr>
                <w:sz w:val="32"/>
                <w:szCs w:val="32"/>
              </w:rPr>
            </w:pPr>
            <w:r>
              <w:rPr>
                <w:sz w:val="32"/>
                <w:szCs w:val="32"/>
              </w:rPr>
              <w:t>+9.3</w:t>
            </w:r>
          </w:p>
        </w:tc>
      </w:tr>
      <w:tr w:rsidR="002D7B6A" w:rsidTr="000B691A">
        <w:tc>
          <w:tcPr>
            <w:tcW w:w="2714" w:type="dxa"/>
          </w:tcPr>
          <w:p w:rsidR="002D7B6A" w:rsidRDefault="002D7B6A" w:rsidP="000B691A">
            <w:pPr>
              <w:rPr>
                <w:sz w:val="32"/>
                <w:szCs w:val="32"/>
              </w:rPr>
            </w:pPr>
            <w:r>
              <w:rPr>
                <w:sz w:val="32"/>
                <w:szCs w:val="32"/>
              </w:rPr>
              <w:t>Writing</w:t>
            </w:r>
          </w:p>
        </w:tc>
        <w:tc>
          <w:tcPr>
            <w:tcW w:w="2715" w:type="dxa"/>
          </w:tcPr>
          <w:p w:rsidR="002D7B6A" w:rsidRDefault="002D7B6A" w:rsidP="000B691A">
            <w:pPr>
              <w:jc w:val="center"/>
              <w:rPr>
                <w:sz w:val="32"/>
                <w:szCs w:val="32"/>
              </w:rPr>
            </w:pPr>
            <w:r>
              <w:rPr>
                <w:sz w:val="32"/>
                <w:szCs w:val="32"/>
              </w:rPr>
              <w:t>2B</w:t>
            </w:r>
          </w:p>
        </w:tc>
        <w:tc>
          <w:tcPr>
            <w:tcW w:w="2714" w:type="dxa"/>
          </w:tcPr>
          <w:p w:rsidR="002D7B6A" w:rsidRDefault="002D7B6A" w:rsidP="000B691A">
            <w:pPr>
              <w:jc w:val="center"/>
              <w:rPr>
                <w:sz w:val="32"/>
                <w:szCs w:val="32"/>
              </w:rPr>
            </w:pPr>
            <w:r>
              <w:rPr>
                <w:sz w:val="32"/>
                <w:szCs w:val="32"/>
              </w:rPr>
              <w:t>EXS</w:t>
            </w:r>
          </w:p>
        </w:tc>
        <w:tc>
          <w:tcPr>
            <w:tcW w:w="2715" w:type="dxa"/>
            <w:shd w:val="clear" w:color="auto" w:fill="92D050"/>
          </w:tcPr>
          <w:p w:rsidR="002D7B6A" w:rsidRDefault="00A63C9E" w:rsidP="000B691A">
            <w:pPr>
              <w:jc w:val="center"/>
              <w:rPr>
                <w:sz w:val="32"/>
                <w:szCs w:val="32"/>
              </w:rPr>
            </w:pPr>
            <w:r>
              <w:rPr>
                <w:sz w:val="32"/>
                <w:szCs w:val="32"/>
              </w:rPr>
              <w:t>+0.85</w:t>
            </w:r>
          </w:p>
        </w:tc>
      </w:tr>
      <w:tr w:rsidR="002D7B6A" w:rsidTr="000B691A">
        <w:tc>
          <w:tcPr>
            <w:tcW w:w="2714" w:type="dxa"/>
          </w:tcPr>
          <w:p w:rsidR="002D7B6A" w:rsidRDefault="002D7B6A" w:rsidP="000B691A">
            <w:pPr>
              <w:rPr>
                <w:sz w:val="32"/>
                <w:szCs w:val="32"/>
              </w:rPr>
            </w:pPr>
            <w:r>
              <w:rPr>
                <w:sz w:val="32"/>
                <w:szCs w:val="32"/>
              </w:rPr>
              <w:t>Maths</w:t>
            </w:r>
          </w:p>
        </w:tc>
        <w:tc>
          <w:tcPr>
            <w:tcW w:w="2715" w:type="dxa"/>
          </w:tcPr>
          <w:p w:rsidR="002D7B6A" w:rsidRDefault="002D7B6A" w:rsidP="000B691A">
            <w:pPr>
              <w:jc w:val="center"/>
              <w:rPr>
                <w:sz w:val="32"/>
                <w:szCs w:val="32"/>
              </w:rPr>
            </w:pPr>
            <w:r>
              <w:rPr>
                <w:sz w:val="32"/>
                <w:szCs w:val="32"/>
              </w:rPr>
              <w:t>2B</w:t>
            </w:r>
          </w:p>
        </w:tc>
        <w:tc>
          <w:tcPr>
            <w:tcW w:w="2714" w:type="dxa"/>
          </w:tcPr>
          <w:p w:rsidR="002D7B6A" w:rsidRDefault="002D7B6A" w:rsidP="000B691A">
            <w:pPr>
              <w:jc w:val="center"/>
              <w:rPr>
                <w:sz w:val="32"/>
                <w:szCs w:val="32"/>
              </w:rPr>
            </w:pPr>
            <w:r>
              <w:rPr>
                <w:sz w:val="32"/>
                <w:szCs w:val="32"/>
              </w:rPr>
              <w:t>102</w:t>
            </w:r>
          </w:p>
        </w:tc>
        <w:tc>
          <w:tcPr>
            <w:tcW w:w="2715" w:type="dxa"/>
            <w:shd w:val="clear" w:color="auto" w:fill="auto"/>
          </w:tcPr>
          <w:p w:rsidR="002D7B6A" w:rsidRDefault="00A63C9E" w:rsidP="000B691A">
            <w:pPr>
              <w:jc w:val="center"/>
              <w:rPr>
                <w:sz w:val="32"/>
                <w:szCs w:val="32"/>
              </w:rPr>
            </w:pPr>
            <w:r>
              <w:rPr>
                <w:sz w:val="32"/>
                <w:szCs w:val="32"/>
              </w:rPr>
              <w:t>-1.05</w:t>
            </w:r>
          </w:p>
        </w:tc>
      </w:tr>
    </w:tbl>
    <w:p w:rsidR="002D7B6A" w:rsidRDefault="002D7B6A" w:rsidP="002D7B6A">
      <w:pPr>
        <w:spacing w:after="0"/>
        <w:rPr>
          <w:b/>
          <w:sz w:val="32"/>
          <w:szCs w:val="32"/>
        </w:rPr>
      </w:pPr>
    </w:p>
    <w:p w:rsidR="002D7B6A" w:rsidRDefault="002D7B6A" w:rsidP="002D7B6A">
      <w:pPr>
        <w:spacing w:after="0"/>
        <w:rPr>
          <w:b/>
          <w:sz w:val="16"/>
          <w:szCs w:val="16"/>
        </w:rPr>
      </w:pPr>
    </w:p>
    <w:p w:rsidR="002D7B6A" w:rsidRPr="00333971" w:rsidRDefault="002D7B6A" w:rsidP="002D7B6A">
      <w:pPr>
        <w:spacing w:after="0"/>
        <w:rPr>
          <w:b/>
          <w:sz w:val="16"/>
          <w:szCs w:val="16"/>
        </w:rPr>
      </w:pPr>
    </w:p>
    <w:p w:rsidR="002D7B6A" w:rsidRPr="00702D3B" w:rsidRDefault="00EA2BDB" w:rsidP="002D7B6A">
      <w:pPr>
        <w:spacing w:after="0"/>
        <w:rPr>
          <w:b/>
          <w:sz w:val="32"/>
          <w:szCs w:val="32"/>
          <w:u w:val="single"/>
        </w:rPr>
      </w:pPr>
      <w:r>
        <w:rPr>
          <w:b/>
          <w:sz w:val="32"/>
          <w:szCs w:val="32"/>
          <w:u w:val="single"/>
        </w:rPr>
        <w:lastRenderedPageBreak/>
        <w:t>Pupil B</w:t>
      </w:r>
    </w:p>
    <w:tbl>
      <w:tblPr>
        <w:tblStyle w:val="TableGrid"/>
        <w:tblW w:w="10858" w:type="dxa"/>
        <w:tblInd w:w="-176" w:type="dxa"/>
        <w:tblLook w:val="04A0" w:firstRow="1" w:lastRow="0" w:firstColumn="1" w:lastColumn="0" w:noHBand="0" w:noVBand="1"/>
      </w:tblPr>
      <w:tblGrid>
        <w:gridCol w:w="2714"/>
        <w:gridCol w:w="2715"/>
        <w:gridCol w:w="2714"/>
        <w:gridCol w:w="2715"/>
      </w:tblGrid>
      <w:tr w:rsidR="002D7B6A" w:rsidTr="000B691A">
        <w:tc>
          <w:tcPr>
            <w:tcW w:w="2714" w:type="dxa"/>
          </w:tcPr>
          <w:p w:rsidR="002D7B6A" w:rsidRDefault="002D7B6A" w:rsidP="000B691A">
            <w:pPr>
              <w:rPr>
                <w:b/>
                <w:sz w:val="32"/>
                <w:szCs w:val="32"/>
              </w:rPr>
            </w:pPr>
            <w:r>
              <w:rPr>
                <w:b/>
                <w:sz w:val="32"/>
                <w:szCs w:val="32"/>
              </w:rPr>
              <w:t>Subject</w:t>
            </w:r>
          </w:p>
        </w:tc>
        <w:tc>
          <w:tcPr>
            <w:tcW w:w="2715" w:type="dxa"/>
          </w:tcPr>
          <w:p w:rsidR="002D7B6A" w:rsidRPr="00702D3B" w:rsidRDefault="002D7B6A" w:rsidP="000B691A">
            <w:pPr>
              <w:rPr>
                <w:b/>
                <w:sz w:val="32"/>
                <w:szCs w:val="32"/>
              </w:rPr>
            </w:pPr>
            <w:r>
              <w:rPr>
                <w:b/>
                <w:sz w:val="32"/>
                <w:szCs w:val="32"/>
              </w:rPr>
              <w:t>End of Key Stage 1 Level</w:t>
            </w:r>
          </w:p>
        </w:tc>
        <w:tc>
          <w:tcPr>
            <w:tcW w:w="2714" w:type="dxa"/>
          </w:tcPr>
          <w:p w:rsidR="002D7B6A" w:rsidRPr="00702D3B" w:rsidRDefault="002D7B6A" w:rsidP="000B691A">
            <w:pPr>
              <w:rPr>
                <w:b/>
                <w:sz w:val="32"/>
                <w:szCs w:val="32"/>
              </w:rPr>
            </w:pPr>
            <w:r w:rsidRPr="00702D3B">
              <w:rPr>
                <w:b/>
                <w:sz w:val="32"/>
                <w:szCs w:val="32"/>
              </w:rPr>
              <w:t>Year 6 SATS Result 2018</w:t>
            </w:r>
          </w:p>
        </w:tc>
        <w:tc>
          <w:tcPr>
            <w:tcW w:w="2715" w:type="dxa"/>
          </w:tcPr>
          <w:p w:rsidR="002D7B6A" w:rsidRPr="00702D3B" w:rsidRDefault="002D7B6A" w:rsidP="000B691A">
            <w:pPr>
              <w:rPr>
                <w:b/>
                <w:sz w:val="32"/>
                <w:szCs w:val="32"/>
              </w:rPr>
            </w:pPr>
            <w:r w:rsidRPr="00702D3B">
              <w:rPr>
                <w:b/>
                <w:sz w:val="32"/>
                <w:szCs w:val="32"/>
              </w:rPr>
              <w:t>Individual Progress Score</w:t>
            </w:r>
          </w:p>
        </w:tc>
      </w:tr>
      <w:tr w:rsidR="002D7B6A" w:rsidTr="000B691A">
        <w:tc>
          <w:tcPr>
            <w:tcW w:w="2714" w:type="dxa"/>
          </w:tcPr>
          <w:p w:rsidR="002D7B6A" w:rsidRDefault="002D7B6A" w:rsidP="000B691A">
            <w:pPr>
              <w:rPr>
                <w:sz w:val="32"/>
                <w:szCs w:val="32"/>
              </w:rPr>
            </w:pPr>
            <w:r>
              <w:rPr>
                <w:sz w:val="32"/>
                <w:szCs w:val="32"/>
              </w:rPr>
              <w:t>Reading</w:t>
            </w:r>
          </w:p>
        </w:tc>
        <w:tc>
          <w:tcPr>
            <w:tcW w:w="2715" w:type="dxa"/>
          </w:tcPr>
          <w:p w:rsidR="002D7B6A" w:rsidRDefault="002D7B6A" w:rsidP="000B691A">
            <w:pPr>
              <w:jc w:val="center"/>
              <w:rPr>
                <w:sz w:val="32"/>
                <w:szCs w:val="32"/>
              </w:rPr>
            </w:pPr>
            <w:r>
              <w:rPr>
                <w:sz w:val="32"/>
                <w:szCs w:val="32"/>
              </w:rPr>
              <w:t>2A</w:t>
            </w:r>
          </w:p>
        </w:tc>
        <w:tc>
          <w:tcPr>
            <w:tcW w:w="2714" w:type="dxa"/>
          </w:tcPr>
          <w:p w:rsidR="002D7B6A" w:rsidRDefault="002D7B6A" w:rsidP="000B691A">
            <w:pPr>
              <w:jc w:val="center"/>
              <w:rPr>
                <w:sz w:val="32"/>
                <w:szCs w:val="32"/>
              </w:rPr>
            </w:pPr>
            <w:r>
              <w:rPr>
                <w:sz w:val="32"/>
                <w:szCs w:val="32"/>
              </w:rPr>
              <w:t>114</w:t>
            </w:r>
          </w:p>
        </w:tc>
        <w:tc>
          <w:tcPr>
            <w:tcW w:w="2715" w:type="dxa"/>
            <w:shd w:val="clear" w:color="auto" w:fill="92D050"/>
          </w:tcPr>
          <w:p w:rsidR="002D7B6A" w:rsidRDefault="00A63C9E" w:rsidP="000B691A">
            <w:pPr>
              <w:jc w:val="center"/>
              <w:rPr>
                <w:sz w:val="32"/>
                <w:szCs w:val="32"/>
              </w:rPr>
            </w:pPr>
            <w:r>
              <w:rPr>
                <w:sz w:val="32"/>
                <w:szCs w:val="32"/>
              </w:rPr>
              <w:t>+11.07</w:t>
            </w:r>
          </w:p>
        </w:tc>
      </w:tr>
      <w:tr w:rsidR="002D7B6A" w:rsidTr="00A63C9E">
        <w:tc>
          <w:tcPr>
            <w:tcW w:w="2714" w:type="dxa"/>
          </w:tcPr>
          <w:p w:rsidR="002D7B6A" w:rsidRDefault="002D7B6A" w:rsidP="000B691A">
            <w:pPr>
              <w:rPr>
                <w:sz w:val="32"/>
                <w:szCs w:val="32"/>
              </w:rPr>
            </w:pPr>
            <w:r>
              <w:rPr>
                <w:sz w:val="32"/>
                <w:szCs w:val="32"/>
              </w:rPr>
              <w:t>Writing</w:t>
            </w:r>
          </w:p>
        </w:tc>
        <w:tc>
          <w:tcPr>
            <w:tcW w:w="2715" w:type="dxa"/>
          </w:tcPr>
          <w:p w:rsidR="002D7B6A" w:rsidRDefault="002D7B6A" w:rsidP="000B691A">
            <w:pPr>
              <w:jc w:val="center"/>
              <w:rPr>
                <w:sz w:val="32"/>
                <w:szCs w:val="32"/>
              </w:rPr>
            </w:pPr>
            <w:r>
              <w:rPr>
                <w:sz w:val="32"/>
                <w:szCs w:val="32"/>
              </w:rPr>
              <w:t>2C</w:t>
            </w:r>
          </w:p>
        </w:tc>
        <w:tc>
          <w:tcPr>
            <w:tcW w:w="2714" w:type="dxa"/>
          </w:tcPr>
          <w:p w:rsidR="002D7B6A" w:rsidRDefault="002D7B6A" w:rsidP="000B691A">
            <w:pPr>
              <w:jc w:val="center"/>
              <w:rPr>
                <w:sz w:val="32"/>
                <w:szCs w:val="32"/>
              </w:rPr>
            </w:pPr>
            <w:r>
              <w:rPr>
                <w:sz w:val="32"/>
                <w:szCs w:val="32"/>
              </w:rPr>
              <w:t>WTS</w:t>
            </w:r>
          </w:p>
        </w:tc>
        <w:tc>
          <w:tcPr>
            <w:tcW w:w="2715" w:type="dxa"/>
            <w:shd w:val="clear" w:color="auto" w:fill="auto"/>
          </w:tcPr>
          <w:p w:rsidR="002D7B6A" w:rsidRPr="00A63C9E" w:rsidRDefault="00A63C9E" w:rsidP="00A63C9E">
            <w:pPr>
              <w:pStyle w:val="ListParagraph"/>
              <w:numPr>
                <w:ilvl w:val="0"/>
                <w:numId w:val="3"/>
              </w:numPr>
              <w:jc w:val="center"/>
              <w:rPr>
                <w:sz w:val="32"/>
                <w:szCs w:val="32"/>
              </w:rPr>
            </w:pPr>
            <w:r>
              <w:rPr>
                <w:sz w:val="32"/>
                <w:szCs w:val="32"/>
              </w:rPr>
              <w:t>10.17</w:t>
            </w:r>
          </w:p>
        </w:tc>
      </w:tr>
      <w:tr w:rsidR="002D7B6A" w:rsidTr="000B691A">
        <w:tc>
          <w:tcPr>
            <w:tcW w:w="2714" w:type="dxa"/>
          </w:tcPr>
          <w:p w:rsidR="002D7B6A" w:rsidRDefault="002D7B6A" w:rsidP="000B691A">
            <w:pPr>
              <w:rPr>
                <w:sz w:val="32"/>
                <w:szCs w:val="32"/>
              </w:rPr>
            </w:pPr>
            <w:r>
              <w:rPr>
                <w:sz w:val="32"/>
                <w:szCs w:val="32"/>
              </w:rPr>
              <w:t>Maths</w:t>
            </w:r>
          </w:p>
        </w:tc>
        <w:tc>
          <w:tcPr>
            <w:tcW w:w="2715" w:type="dxa"/>
          </w:tcPr>
          <w:p w:rsidR="002D7B6A" w:rsidRDefault="002D7B6A" w:rsidP="000B691A">
            <w:pPr>
              <w:jc w:val="center"/>
              <w:rPr>
                <w:sz w:val="32"/>
                <w:szCs w:val="32"/>
              </w:rPr>
            </w:pPr>
            <w:r>
              <w:rPr>
                <w:sz w:val="32"/>
                <w:szCs w:val="32"/>
              </w:rPr>
              <w:t>2B</w:t>
            </w:r>
          </w:p>
        </w:tc>
        <w:tc>
          <w:tcPr>
            <w:tcW w:w="2714" w:type="dxa"/>
          </w:tcPr>
          <w:p w:rsidR="002D7B6A" w:rsidRDefault="002D7B6A" w:rsidP="000B691A">
            <w:pPr>
              <w:jc w:val="center"/>
              <w:rPr>
                <w:sz w:val="32"/>
                <w:szCs w:val="32"/>
              </w:rPr>
            </w:pPr>
            <w:r>
              <w:rPr>
                <w:sz w:val="32"/>
                <w:szCs w:val="32"/>
              </w:rPr>
              <w:t>104</w:t>
            </w:r>
          </w:p>
        </w:tc>
        <w:tc>
          <w:tcPr>
            <w:tcW w:w="2715" w:type="dxa"/>
            <w:shd w:val="clear" w:color="auto" w:fill="92D050"/>
          </w:tcPr>
          <w:p w:rsidR="002D7B6A" w:rsidRDefault="00A63C9E" w:rsidP="000B691A">
            <w:pPr>
              <w:jc w:val="center"/>
              <w:rPr>
                <w:sz w:val="32"/>
                <w:szCs w:val="32"/>
              </w:rPr>
            </w:pPr>
            <w:r>
              <w:rPr>
                <w:sz w:val="32"/>
                <w:szCs w:val="32"/>
              </w:rPr>
              <w:t>+1.7</w:t>
            </w:r>
          </w:p>
        </w:tc>
      </w:tr>
    </w:tbl>
    <w:p w:rsidR="002D7B6A" w:rsidRPr="002D7B6A" w:rsidRDefault="002D7B6A" w:rsidP="002D7B6A">
      <w:pPr>
        <w:spacing w:after="0"/>
        <w:rPr>
          <w:b/>
          <w:sz w:val="32"/>
          <w:szCs w:val="32"/>
        </w:rPr>
      </w:pPr>
    </w:p>
    <w:p w:rsidR="002D7B6A" w:rsidRPr="00333971" w:rsidRDefault="002D7B6A" w:rsidP="002D7B6A">
      <w:pPr>
        <w:spacing w:after="0"/>
        <w:rPr>
          <w:b/>
          <w:sz w:val="16"/>
          <w:szCs w:val="16"/>
        </w:rPr>
      </w:pPr>
    </w:p>
    <w:p w:rsidR="002D7B6A" w:rsidRDefault="00EA2BDB" w:rsidP="002D7B6A">
      <w:pPr>
        <w:spacing w:after="0"/>
        <w:rPr>
          <w:b/>
          <w:sz w:val="32"/>
          <w:szCs w:val="32"/>
          <w:u w:val="single"/>
        </w:rPr>
      </w:pPr>
      <w:r>
        <w:rPr>
          <w:b/>
          <w:sz w:val="32"/>
          <w:szCs w:val="32"/>
          <w:u w:val="single"/>
        </w:rPr>
        <w:t>PP Pupils vs Non PP</w:t>
      </w:r>
      <w:r w:rsidR="002D7B6A" w:rsidRPr="00C406E3">
        <w:rPr>
          <w:b/>
          <w:sz w:val="32"/>
          <w:szCs w:val="32"/>
          <w:u w:val="single"/>
        </w:rPr>
        <w:t xml:space="preserve"> Pupils</w:t>
      </w:r>
    </w:p>
    <w:tbl>
      <w:tblPr>
        <w:tblStyle w:val="TableGrid"/>
        <w:tblW w:w="0" w:type="auto"/>
        <w:tblLook w:val="04A0" w:firstRow="1" w:lastRow="0" w:firstColumn="1" w:lastColumn="0" w:noHBand="0" w:noVBand="1"/>
      </w:tblPr>
      <w:tblGrid>
        <w:gridCol w:w="1869"/>
        <w:gridCol w:w="1431"/>
        <w:gridCol w:w="1431"/>
        <w:gridCol w:w="1431"/>
        <w:gridCol w:w="1431"/>
        <w:gridCol w:w="1431"/>
        <w:gridCol w:w="1432"/>
      </w:tblGrid>
      <w:tr w:rsidR="00837FAD" w:rsidTr="0033529E">
        <w:tc>
          <w:tcPr>
            <w:tcW w:w="1869" w:type="dxa"/>
          </w:tcPr>
          <w:p w:rsidR="00837FAD" w:rsidRDefault="00837FAD" w:rsidP="0033529E">
            <w:pPr>
              <w:rPr>
                <w:b/>
                <w:sz w:val="32"/>
                <w:szCs w:val="32"/>
              </w:rPr>
            </w:pPr>
          </w:p>
        </w:tc>
        <w:tc>
          <w:tcPr>
            <w:tcW w:w="4293" w:type="dxa"/>
            <w:gridSpan w:val="3"/>
          </w:tcPr>
          <w:p w:rsidR="00837FAD" w:rsidRDefault="00837FAD" w:rsidP="0033529E">
            <w:pPr>
              <w:jc w:val="center"/>
              <w:rPr>
                <w:b/>
                <w:sz w:val="32"/>
                <w:szCs w:val="32"/>
              </w:rPr>
            </w:pPr>
            <w:r>
              <w:rPr>
                <w:b/>
                <w:sz w:val="32"/>
                <w:szCs w:val="32"/>
              </w:rPr>
              <w:t>PROGRESS*</w:t>
            </w:r>
          </w:p>
        </w:tc>
        <w:tc>
          <w:tcPr>
            <w:tcW w:w="4294" w:type="dxa"/>
            <w:gridSpan w:val="3"/>
          </w:tcPr>
          <w:p w:rsidR="00837FAD" w:rsidRDefault="00837FAD" w:rsidP="0033529E">
            <w:pPr>
              <w:jc w:val="center"/>
              <w:rPr>
                <w:b/>
                <w:sz w:val="32"/>
                <w:szCs w:val="32"/>
              </w:rPr>
            </w:pPr>
            <w:r>
              <w:rPr>
                <w:b/>
                <w:sz w:val="32"/>
                <w:szCs w:val="32"/>
              </w:rPr>
              <w:t>AVERAGE SCALED SCORE</w:t>
            </w:r>
          </w:p>
        </w:tc>
      </w:tr>
      <w:tr w:rsidR="00837FAD" w:rsidTr="0033529E">
        <w:tc>
          <w:tcPr>
            <w:tcW w:w="1869" w:type="dxa"/>
          </w:tcPr>
          <w:p w:rsidR="00837FAD" w:rsidRDefault="00837FAD" w:rsidP="0033529E">
            <w:pPr>
              <w:rPr>
                <w:b/>
                <w:sz w:val="32"/>
                <w:szCs w:val="32"/>
              </w:rPr>
            </w:pPr>
            <w:r>
              <w:rPr>
                <w:b/>
                <w:sz w:val="32"/>
                <w:szCs w:val="32"/>
              </w:rPr>
              <w:t>Subject</w:t>
            </w:r>
          </w:p>
        </w:tc>
        <w:tc>
          <w:tcPr>
            <w:tcW w:w="1431" w:type="dxa"/>
          </w:tcPr>
          <w:p w:rsidR="00837FAD" w:rsidRPr="00C406E3" w:rsidRDefault="00837FAD" w:rsidP="0033529E">
            <w:pPr>
              <w:rPr>
                <w:b/>
                <w:sz w:val="32"/>
                <w:szCs w:val="32"/>
              </w:rPr>
            </w:pPr>
            <w:r>
              <w:rPr>
                <w:b/>
                <w:sz w:val="32"/>
                <w:szCs w:val="32"/>
              </w:rPr>
              <w:t>Non PP</w:t>
            </w:r>
          </w:p>
        </w:tc>
        <w:tc>
          <w:tcPr>
            <w:tcW w:w="1431" w:type="dxa"/>
          </w:tcPr>
          <w:p w:rsidR="00837FAD" w:rsidRPr="00C406E3" w:rsidRDefault="00837FAD" w:rsidP="0033529E">
            <w:pPr>
              <w:rPr>
                <w:b/>
                <w:sz w:val="32"/>
                <w:szCs w:val="32"/>
              </w:rPr>
            </w:pPr>
            <w:r>
              <w:rPr>
                <w:b/>
                <w:sz w:val="32"/>
                <w:szCs w:val="32"/>
              </w:rPr>
              <w:t>PP</w:t>
            </w:r>
            <w:r w:rsidRPr="00C406E3">
              <w:rPr>
                <w:b/>
                <w:sz w:val="32"/>
                <w:szCs w:val="32"/>
              </w:rPr>
              <w:t xml:space="preserve"> Pupils</w:t>
            </w:r>
          </w:p>
        </w:tc>
        <w:tc>
          <w:tcPr>
            <w:tcW w:w="1431" w:type="dxa"/>
          </w:tcPr>
          <w:p w:rsidR="00837FAD" w:rsidRDefault="00837FAD" w:rsidP="0033529E">
            <w:pPr>
              <w:rPr>
                <w:b/>
                <w:sz w:val="32"/>
                <w:szCs w:val="32"/>
              </w:rPr>
            </w:pPr>
            <w:r>
              <w:rPr>
                <w:b/>
                <w:sz w:val="32"/>
                <w:szCs w:val="32"/>
              </w:rPr>
              <w:t>Nat. Ave. Non PP</w:t>
            </w:r>
          </w:p>
        </w:tc>
        <w:tc>
          <w:tcPr>
            <w:tcW w:w="1431" w:type="dxa"/>
          </w:tcPr>
          <w:p w:rsidR="00837FAD" w:rsidRPr="00C406E3" w:rsidRDefault="00837FAD" w:rsidP="0033529E">
            <w:pPr>
              <w:rPr>
                <w:b/>
                <w:sz w:val="32"/>
                <w:szCs w:val="32"/>
              </w:rPr>
            </w:pPr>
            <w:r>
              <w:rPr>
                <w:b/>
                <w:sz w:val="32"/>
                <w:szCs w:val="32"/>
              </w:rPr>
              <w:t>St Peter’s Non PP</w:t>
            </w:r>
          </w:p>
        </w:tc>
        <w:tc>
          <w:tcPr>
            <w:tcW w:w="1431" w:type="dxa"/>
          </w:tcPr>
          <w:p w:rsidR="00837FAD" w:rsidRPr="00C406E3" w:rsidRDefault="00837FAD" w:rsidP="0033529E">
            <w:pPr>
              <w:rPr>
                <w:b/>
                <w:sz w:val="32"/>
                <w:szCs w:val="32"/>
              </w:rPr>
            </w:pPr>
            <w:r>
              <w:rPr>
                <w:b/>
                <w:sz w:val="32"/>
                <w:szCs w:val="32"/>
              </w:rPr>
              <w:t>PP</w:t>
            </w:r>
            <w:r w:rsidRPr="00C406E3">
              <w:rPr>
                <w:b/>
                <w:sz w:val="32"/>
                <w:szCs w:val="32"/>
              </w:rPr>
              <w:t xml:space="preserve"> Pupils</w:t>
            </w:r>
          </w:p>
        </w:tc>
        <w:tc>
          <w:tcPr>
            <w:tcW w:w="1432" w:type="dxa"/>
          </w:tcPr>
          <w:p w:rsidR="00837FAD" w:rsidRDefault="00837FAD" w:rsidP="0033529E">
            <w:pPr>
              <w:rPr>
                <w:b/>
                <w:sz w:val="32"/>
                <w:szCs w:val="32"/>
              </w:rPr>
            </w:pPr>
            <w:r>
              <w:rPr>
                <w:b/>
                <w:sz w:val="32"/>
                <w:szCs w:val="32"/>
              </w:rPr>
              <w:t>Nat. Ave. Non PP</w:t>
            </w:r>
          </w:p>
        </w:tc>
      </w:tr>
      <w:tr w:rsidR="00837FAD" w:rsidTr="0033529E">
        <w:tc>
          <w:tcPr>
            <w:tcW w:w="1869" w:type="dxa"/>
          </w:tcPr>
          <w:p w:rsidR="00837FAD" w:rsidRDefault="00837FAD" w:rsidP="0033529E">
            <w:pPr>
              <w:rPr>
                <w:sz w:val="32"/>
                <w:szCs w:val="32"/>
              </w:rPr>
            </w:pPr>
            <w:r>
              <w:rPr>
                <w:sz w:val="32"/>
                <w:szCs w:val="32"/>
              </w:rPr>
              <w:t>Reading</w:t>
            </w:r>
          </w:p>
        </w:tc>
        <w:tc>
          <w:tcPr>
            <w:tcW w:w="1431" w:type="dxa"/>
          </w:tcPr>
          <w:p w:rsidR="00837FAD" w:rsidRDefault="005946CD" w:rsidP="0033529E">
            <w:pPr>
              <w:jc w:val="center"/>
              <w:rPr>
                <w:b/>
                <w:sz w:val="32"/>
                <w:szCs w:val="32"/>
              </w:rPr>
            </w:pPr>
            <w:r>
              <w:rPr>
                <w:b/>
                <w:sz w:val="32"/>
                <w:szCs w:val="32"/>
              </w:rPr>
              <w:t>+3.11</w:t>
            </w:r>
          </w:p>
        </w:tc>
        <w:tc>
          <w:tcPr>
            <w:tcW w:w="1431" w:type="dxa"/>
            <w:shd w:val="clear" w:color="auto" w:fill="92D050"/>
          </w:tcPr>
          <w:p w:rsidR="00837FAD" w:rsidRDefault="005946CD" w:rsidP="0033529E">
            <w:pPr>
              <w:jc w:val="center"/>
              <w:rPr>
                <w:b/>
                <w:sz w:val="32"/>
                <w:szCs w:val="32"/>
              </w:rPr>
            </w:pPr>
            <w:r>
              <w:rPr>
                <w:b/>
                <w:sz w:val="32"/>
                <w:szCs w:val="32"/>
              </w:rPr>
              <w:t>+10.2</w:t>
            </w:r>
          </w:p>
        </w:tc>
        <w:tc>
          <w:tcPr>
            <w:tcW w:w="1431" w:type="dxa"/>
          </w:tcPr>
          <w:p w:rsidR="00837FAD" w:rsidRDefault="00837FAD" w:rsidP="0033529E">
            <w:pPr>
              <w:jc w:val="center"/>
              <w:rPr>
                <w:b/>
                <w:sz w:val="32"/>
                <w:szCs w:val="32"/>
              </w:rPr>
            </w:pPr>
            <w:r>
              <w:rPr>
                <w:b/>
                <w:sz w:val="32"/>
                <w:szCs w:val="32"/>
              </w:rPr>
              <w:t>?</w:t>
            </w:r>
          </w:p>
        </w:tc>
        <w:tc>
          <w:tcPr>
            <w:tcW w:w="1431" w:type="dxa"/>
          </w:tcPr>
          <w:p w:rsidR="00837FAD" w:rsidRDefault="00837FAD" w:rsidP="0033529E">
            <w:pPr>
              <w:jc w:val="center"/>
              <w:rPr>
                <w:b/>
                <w:sz w:val="32"/>
                <w:szCs w:val="32"/>
              </w:rPr>
            </w:pPr>
            <w:r>
              <w:rPr>
                <w:b/>
                <w:sz w:val="32"/>
                <w:szCs w:val="32"/>
              </w:rPr>
              <w:t>107</w:t>
            </w:r>
          </w:p>
        </w:tc>
        <w:tc>
          <w:tcPr>
            <w:tcW w:w="1431" w:type="dxa"/>
            <w:shd w:val="clear" w:color="auto" w:fill="92D050"/>
          </w:tcPr>
          <w:p w:rsidR="00837FAD" w:rsidRDefault="00837FAD" w:rsidP="0033529E">
            <w:pPr>
              <w:jc w:val="center"/>
              <w:rPr>
                <w:b/>
                <w:sz w:val="32"/>
                <w:szCs w:val="32"/>
              </w:rPr>
            </w:pPr>
            <w:r>
              <w:rPr>
                <w:b/>
                <w:sz w:val="32"/>
                <w:szCs w:val="32"/>
              </w:rPr>
              <w:t>114</w:t>
            </w:r>
          </w:p>
        </w:tc>
        <w:tc>
          <w:tcPr>
            <w:tcW w:w="1432" w:type="dxa"/>
            <w:shd w:val="clear" w:color="auto" w:fill="auto"/>
          </w:tcPr>
          <w:p w:rsidR="00837FAD" w:rsidRDefault="00837FAD" w:rsidP="0033529E">
            <w:pPr>
              <w:jc w:val="center"/>
              <w:rPr>
                <w:b/>
                <w:sz w:val="32"/>
                <w:szCs w:val="32"/>
              </w:rPr>
            </w:pPr>
            <w:r>
              <w:rPr>
                <w:b/>
                <w:sz w:val="32"/>
                <w:szCs w:val="32"/>
              </w:rPr>
              <w:t>105</w:t>
            </w:r>
          </w:p>
        </w:tc>
      </w:tr>
      <w:tr w:rsidR="00837FAD" w:rsidTr="00852AFE">
        <w:tc>
          <w:tcPr>
            <w:tcW w:w="1869" w:type="dxa"/>
          </w:tcPr>
          <w:p w:rsidR="00837FAD" w:rsidRDefault="00837FAD" w:rsidP="0033529E">
            <w:pPr>
              <w:rPr>
                <w:sz w:val="32"/>
                <w:szCs w:val="32"/>
              </w:rPr>
            </w:pPr>
            <w:r>
              <w:rPr>
                <w:sz w:val="32"/>
                <w:szCs w:val="32"/>
              </w:rPr>
              <w:t>Writing</w:t>
            </w:r>
          </w:p>
        </w:tc>
        <w:tc>
          <w:tcPr>
            <w:tcW w:w="1431" w:type="dxa"/>
            <w:shd w:val="clear" w:color="auto" w:fill="auto"/>
          </w:tcPr>
          <w:p w:rsidR="00837FAD" w:rsidRDefault="00852AFE" w:rsidP="0033529E">
            <w:pPr>
              <w:jc w:val="center"/>
              <w:rPr>
                <w:b/>
                <w:sz w:val="32"/>
                <w:szCs w:val="32"/>
              </w:rPr>
            </w:pPr>
            <w:r>
              <w:rPr>
                <w:b/>
                <w:sz w:val="32"/>
                <w:szCs w:val="32"/>
              </w:rPr>
              <w:t>+3.29</w:t>
            </w:r>
          </w:p>
        </w:tc>
        <w:tc>
          <w:tcPr>
            <w:tcW w:w="1431" w:type="dxa"/>
            <w:shd w:val="clear" w:color="auto" w:fill="auto"/>
          </w:tcPr>
          <w:p w:rsidR="00837FAD" w:rsidRDefault="00852AFE" w:rsidP="0033529E">
            <w:pPr>
              <w:jc w:val="center"/>
              <w:rPr>
                <w:b/>
                <w:sz w:val="32"/>
                <w:szCs w:val="32"/>
              </w:rPr>
            </w:pPr>
            <w:r>
              <w:rPr>
                <w:b/>
                <w:sz w:val="32"/>
                <w:szCs w:val="32"/>
              </w:rPr>
              <w:t>-4.66</w:t>
            </w:r>
          </w:p>
        </w:tc>
        <w:tc>
          <w:tcPr>
            <w:tcW w:w="1431" w:type="dxa"/>
          </w:tcPr>
          <w:p w:rsidR="00837FAD" w:rsidRDefault="00837FAD" w:rsidP="0033529E">
            <w:pPr>
              <w:jc w:val="center"/>
              <w:rPr>
                <w:b/>
                <w:sz w:val="32"/>
                <w:szCs w:val="32"/>
              </w:rPr>
            </w:pPr>
            <w:r>
              <w:rPr>
                <w:b/>
                <w:sz w:val="32"/>
                <w:szCs w:val="32"/>
              </w:rPr>
              <w:t>?</w:t>
            </w:r>
          </w:p>
        </w:tc>
        <w:tc>
          <w:tcPr>
            <w:tcW w:w="1431" w:type="dxa"/>
          </w:tcPr>
          <w:p w:rsidR="00837FAD" w:rsidRDefault="00837FAD" w:rsidP="0033529E">
            <w:pPr>
              <w:jc w:val="center"/>
              <w:rPr>
                <w:b/>
                <w:sz w:val="32"/>
                <w:szCs w:val="32"/>
              </w:rPr>
            </w:pPr>
          </w:p>
        </w:tc>
        <w:tc>
          <w:tcPr>
            <w:tcW w:w="1431" w:type="dxa"/>
          </w:tcPr>
          <w:p w:rsidR="00837FAD" w:rsidRDefault="00837FAD" w:rsidP="0033529E">
            <w:pPr>
              <w:jc w:val="center"/>
              <w:rPr>
                <w:b/>
                <w:sz w:val="32"/>
                <w:szCs w:val="32"/>
              </w:rPr>
            </w:pPr>
          </w:p>
        </w:tc>
        <w:tc>
          <w:tcPr>
            <w:tcW w:w="1432" w:type="dxa"/>
            <w:shd w:val="clear" w:color="auto" w:fill="auto"/>
          </w:tcPr>
          <w:p w:rsidR="00837FAD" w:rsidRDefault="00837FAD" w:rsidP="0033529E">
            <w:pPr>
              <w:jc w:val="center"/>
              <w:rPr>
                <w:b/>
                <w:sz w:val="32"/>
                <w:szCs w:val="32"/>
              </w:rPr>
            </w:pPr>
          </w:p>
        </w:tc>
      </w:tr>
      <w:tr w:rsidR="00837FAD" w:rsidTr="0033529E">
        <w:tc>
          <w:tcPr>
            <w:tcW w:w="1869" w:type="dxa"/>
          </w:tcPr>
          <w:p w:rsidR="00837FAD" w:rsidRDefault="00837FAD" w:rsidP="0033529E">
            <w:pPr>
              <w:rPr>
                <w:sz w:val="32"/>
                <w:szCs w:val="32"/>
              </w:rPr>
            </w:pPr>
            <w:r>
              <w:rPr>
                <w:sz w:val="32"/>
                <w:szCs w:val="32"/>
              </w:rPr>
              <w:t>Maths</w:t>
            </w:r>
          </w:p>
        </w:tc>
        <w:tc>
          <w:tcPr>
            <w:tcW w:w="1431" w:type="dxa"/>
            <w:shd w:val="clear" w:color="auto" w:fill="92D050"/>
          </w:tcPr>
          <w:p w:rsidR="00837FAD" w:rsidRDefault="00837FAD" w:rsidP="0033529E">
            <w:pPr>
              <w:jc w:val="center"/>
              <w:rPr>
                <w:b/>
                <w:sz w:val="32"/>
                <w:szCs w:val="32"/>
              </w:rPr>
            </w:pPr>
            <w:r>
              <w:rPr>
                <w:b/>
                <w:sz w:val="32"/>
                <w:szCs w:val="32"/>
              </w:rPr>
              <w:t>+3</w:t>
            </w:r>
            <w:r w:rsidR="00852AFE">
              <w:rPr>
                <w:b/>
                <w:sz w:val="32"/>
                <w:szCs w:val="32"/>
              </w:rPr>
              <w:t>.07</w:t>
            </w:r>
          </w:p>
        </w:tc>
        <w:tc>
          <w:tcPr>
            <w:tcW w:w="1431" w:type="dxa"/>
            <w:shd w:val="clear" w:color="auto" w:fill="auto"/>
          </w:tcPr>
          <w:p w:rsidR="00837FAD" w:rsidRDefault="00852AFE" w:rsidP="0033529E">
            <w:pPr>
              <w:jc w:val="center"/>
              <w:rPr>
                <w:b/>
                <w:sz w:val="32"/>
                <w:szCs w:val="32"/>
              </w:rPr>
            </w:pPr>
            <w:r>
              <w:rPr>
                <w:b/>
                <w:sz w:val="32"/>
                <w:szCs w:val="32"/>
              </w:rPr>
              <w:t>+0.33</w:t>
            </w:r>
          </w:p>
        </w:tc>
        <w:tc>
          <w:tcPr>
            <w:tcW w:w="1431" w:type="dxa"/>
          </w:tcPr>
          <w:p w:rsidR="00837FAD" w:rsidRDefault="00837FAD" w:rsidP="0033529E">
            <w:pPr>
              <w:jc w:val="center"/>
              <w:rPr>
                <w:b/>
                <w:sz w:val="32"/>
                <w:szCs w:val="32"/>
              </w:rPr>
            </w:pPr>
            <w:r>
              <w:rPr>
                <w:b/>
                <w:sz w:val="32"/>
                <w:szCs w:val="32"/>
              </w:rPr>
              <w:t>?</w:t>
            </w:r>
          </w:p>
        </w:tc>
        <w:tc>
          <w:tcPr>
            <w:tcW w:w="1431" w:type="dxa"/>
            <w:shd w:val="clear" w:color="auto" w:fill="92D050"/>
          </w:tcPr>
          <w:p w:rsidR="00837FAD" w:rsidRDefault="00837FAD" w:rsidP="0033529E">
            <w:pPr>
              <w:jc w:val="center"/>
              <w:rPr>
                <w:b/>
                <w:sz w:val="32"/>
                <w:szCs w:val="32"/>
              </w:rPr>
            </w:pPr>
            <w:r>
              <w:rPr>
                <w:b/>
                <w:sz w:val="32"/>
                <w:szCs w:val="32"/>
              </w:rPr>
              <w:t>106.3</w:t>
            </w:r>
          </w:p>
        </w:tc>
        <w:tc>
          <w:tcPr>
            <w:tcW w:w="1431" w:type="dxa"/>
          </w:tcPr>
          <w:p w:rsidR="00837FAD" w:rsidRDefault="00837FAD" w:rsidP="0033529E">
            <w:pPr>
              <w:jc w:val="center"/>
              <w:rPr>
                <w:b/>
                <w:sz w:val="32"/>
                <w:szCs w:val="32"/>
              </w:rPr>
            </w:pPr>
            <w:r>
              <w:rPr>
                <w:b/>
                <w:sz w:val="32"/>
                <w:szCs w:val="32"/>
              </w:rPr>
              <w:t>103</w:t>
            </w:r>
          </w:p>
        </w:tc>
        <w:tc>
          <w:tcPr>
            <w:tcW w:w="1432" w:type="dxa"/>
            <w:shd w:val="clear" w:color="auto" w:fill="auto"/>
          </w:tcPr>
          <w:p w:rsidR="00837FAD" w:rsidRDefault="00837FAD" w:rsidP="0033529E">
            <w:pPr>
              <w:jc w:val="center"/>
              <w:rPr>
                <w:b/>
                <w:sz w:val="32"/>
                <w:szCs w:val="32"/>
              </w:rPr>
            </w:pPr>
            <w:r>
              <w:rPr>
                <w:b/>
                <w:sz w:val="32"/>
                <w:szCs w:val="32"/>
              </w:rPr>
              <w:t>104</w:t>
            </w:r>
          </w:p>
        </w:tc>
      </w:tr>
    </w:tbl>
    <w:p w:rsidR="002D7B6A" w:rsidRDefault="002D7B6A" w:rsidP="002D7B6A">
      <w:pPr>
        <w:spacing w:after="0"/>
        <w:rPr>
          <w:b/>
          <w:sz w:val="32"/>
          <w:szCs w:val="32"/>
        </w:rPr>
      </w:pPr>
      <w:bookmarkStart w:id="0" w:name="_GoBack"/>
      <w:bookmarkEnd w:id="0"/>
    </w:p>
    <w:p w:rsidR="009F0362" w:rsidRDefault="009F0362" w:rsidP="002D7B6A">
      <w:pPr>
        <w:spacing w:after="0"/>
        <w:rPr>
          <w:sz w:val="32"/>
          <w:szCs w:val="32"/>
          <w:u w:val="single"/>
        </w:rPr>
      </w:pPr>
      <w:r>
        <w:rPr>
          <w:sz w:val="32"/>
          <w:szCs w:val="32"/>
          <w:u w:val="single"/>
        </w:rPr>
        <w:t>Summary – Year 6</w:t>
      </w:r>
    </w:p>
    <w:p w:rsidR="009F0362" w:rsidRDefault="009F0362" w:rsidP="002D7B6A">
      <w:pPr>
        <w:spacing w:after="0"/>
        <w:rPr>
          <w:sz w:val="32"/>
          <w:szCs w:val="32"/>
        </w:rPr>
      </w:pPr>
      <w:r w:rsidRPr="009F0362">
        <w:rPr>
          <w:sz w:val="32"/>
          <w:szCs w:val="32"/>
        </w:rPr>
        <w:t>Focused</w:t>
      </w:r>
      <w:r>
        <w:rPr>
          <w:sz w:val="32"/>
          <w:szCs w:val="32"/>
        </w:rPr>
        <w:t xml:space="preserve"> interventions provided by PP funding had a significant positive impact in Year 6. In all subje</w:t>
      </w:r>
      <w:r w:rsidR="00EA2BDB">
        <w:rPr>
          <w:sz w:val="32"/>
          <w:szCs w:val="32"/>
        </w:rPr>
        <w:t>cts, except Pupil A</w:t>
      </w:r>
      <w:r>
        <w:rPr>
          <w:sz w:val="32"/>
          <w:szCs w:val="32"/>
        </w:rPr>
        <w:t xml:space="preserve">’s maths, positive progress values (above the average for NON-PP pupils) was recorded. </w:t>
      </w:r>
    </w:p>
    <w:p w:rsidR="009F0362" w:rsidRPr="009F0362" w:rsidRDefault="009F0362" w:rsidP="002D7B6A">
      <w:pPr>
        <w:spacing w:after="0"/>
        <w:rPr>
          <w:sz w:val="32"/>
          <w:szCs w:val="32"/>
        </w:rPr>
      </w:pPr>
    </w:p>
    <w:p w:rsidR="002D7B6A" w:rsidRPr="002D7B6A" w:rsidRDefault="002D7B6A" w:rsidP="002D7B6A">
      <w:pPr>
        <w:pStyle w:val="ListParagraph"/>
        <w:numPr>
          <w:ilvl w:val="0"/>
          <w:numId w:val="1"/>
        </w:numPr>
        <w:spacing w:after="0"/>
        <w:rPr>
          <w:b/>
          <w:sz w:val="32"/>
          <w:szCs w:val="32"/>
          <w:u w:val="single"/>
        </w:rPr>
      </w:pPr>
      <w:r>
        <w:rPr>
          <w:b/>
          <w:sz w:val="32"/>
          <w:szCs w:val="32"/>
          <w:u w:val="single"/>
        </w:rPr>
        <w:t>Impact on Pupils in Other Year Groups</w:t>
      </w:r>
    </w:p>
    <w:p w:rsidR="00786B25" w:rsidRDefault="009F0362" w:rsidP="0002602D">
      <w:pPr>
        <w:spacing w:after="0"/>
        <w:rPr>
          <w:sz w:val="28"/>
          <w:szCs w:val="28"/>
          <w:u w:val="single"/>
        </w:rPr>
      </w:pPr>
      <w:r>
        <w:rPr>
          <w:sz w:val="28"/>
          <w:szCs w:val="28"/>
          <w:u w:val="single"/>
        </w:rPr>
        <w:t>See Data Overview Accompanying Sheet for full details:</w:t>
      </w:r>
    </w:p>
    <w:p w:rsidR="00B46624" w:rsidRPr="0002602D" w:rsidRDefault="009F0362" w:rsidP="0002602D">
      <w:pPr>
        <w:spacing w:after="0"/>
        <w:rPr>
          <w:sz w:val="28"/>
          <w:szCs w:val="28"/>
          <w:u w:val="single"/>
        </w:rPr>
      </w:pPr>
      <w:r>
        <w:rPr>
          <w:sz w:val="28"/>
          <w:szCs w:val="28"/>
          <w:u w:val="single"/>
        </w:rPr>
        <w:t xml:space="preserve">Summary </w:t>
      </w:r>
      <w:proofErr w:type="gramStart"/>
      <w:r w:rsidR="00B46624" w:rsidRPr="0002602D">
        <w:rPr>
          <w:sz w:val="28"/>
          <w:szCs w:val="28"/>
          <w:u w:val="single"/>
        </w:rPr>
        <w:t>At</w:t>
      </w:r>
      <w:proofErr w:type="gramEnd"/>
      <w:r w:rsidR="00B46624" w:rsidRPr="0002602D">
        <w:rPr>
          <w:sz w:val="28"/>
          <w:szCs w:val="28"/>
          <w:u w:val="single"/>
        </w:rPr>
        <w:t xml:space="preserve"> the </w:t>
      </w:r>
      <w:r>
        <w:rPr>
          <w:sz w:val="28"/>
          <w:szCs w:val="28"/>
          <w:u w:val="single"/>
        </w:rPr>
        <w:t>June 2018</w:t>
      </w:r>
      <w:r w:rsidR="00B46624" w:rsidRPr="0002602D">
        <w:rPr>
          <w:sz w:val="28"/>
          <w:szCs w:val="28"/>
          <w:u w:val="single"/>
        </w:rPr>
        <w:t xml:space="preserve"> Assessment Point:</w:t>
      </w:r>
    </w:p>
    <w:p w:rsidR="00B46624" w:rsidRPr="009F0362" w:rsidRDefault="009F0362" w:rsidP="0002602D">
      <w:pPr>
        <w:spacing w:after="0"/>
        <w:rPr>
          <w:sz w:val="28"/>
          <w:szCs w:val="28"/>
          <w:highlight w:val="yellow"/>
        </w:rPr>
      </w:pPr>
      <w:r w:rsidRPr="009F0362">
        <w:rPr>
          <w:sz w:val="28"/>
          <w:szCs w:val="28"/>
          <w:highlight w:val="yellow"/>
        </w:rPr>
        <w:t>100</w:t>
      </w:r>
      <w:r w:rsidR="00BC3215" w:rsidRPr="009F0362">
        <w:rPr>
          <w:sz w:val="28"/>
          <w:szCs w:val="28"/>
          <w:highlight w:val="yellow"/>
        </w:rPr>
        <w:t>% of PP pupils had made good progress through the ‘Letters &amp; Sounds’ phonic spelling phases between June 2017 and December 2017.</w:t>
      </w:r>
    </w:p>
    <w:p w:rsidR="00BC3215" w:rsidRDefault="009F0362" w:rsidP="0002602D">
      <w:pPr>
        <w:spacing w:after="0"/>
        <w:rPr>
          <w:sz w:val="28"/>
          <w:szCs w:val="28"/>
        </w:rPr>
      </w:pPr>
      <w:r w:rsidRPr="009F0362">
        <w:rPr>
          <w:sz w:val="28"/>
          <w:szCs w:val="28"/>
          <w:highlight w:val="yellow"/>
        </w:rPr>
        <w:t>80</w:t>
      </w:r>
      <w:r w:rsidR="00BC3215" w:rsidRPr="009F0362">
        <w:rPr>
          <w:sz w:val="28"/>
          <w:szCs w:val="28"/>
          <w:highlight w:val="yellow"/>
        </w:rPr>
        <w:t>% made Accelerated progress of more than a phase</w:t>
      </w:r>
      <w:r w:rsidRPr="009F0362">
        <w:rPr>
          <w:sz w:val="28"/>
          <w:szCs w:val="28"/>
          <w:highlight w:val="yellow"/>
        </w:rPr>
        <w:t xml:space="preserve"> a term</w:t>
      </w:r>
      <w:r w:rsidR="00BC3215" w:rsidRPr="009F0362">
        <w:rPr>
          <w:sz w:val="28"/>
          <w:szCs w:val="28"/>
          <w:highlight w:val="yellow"/>
        </w:rPr>
        <w:t xml:space="preserve"> over the same period.</w:t>
      </w:r>
    </w:p>
    <w:p w:rsidR="003E35B6" w:rsidRDefault="003E35B6" w:rsidP="0002602D">
      <w:pPr>
        <w:spacing w:after="0"/>
        <w:rPr>
          <w:sz w:val="28"/>
          <w:szCs w:val="28"/>
        </w:rPr>
      </w:pPr>
    </w:p>
    <w:p w:rsidR="003E35B6" w:rsidRPr="0002602D" w:rsidRDefault="00B90B00" w:rsidP="003E35B6">
      <w:pPr>
        <w:spacing w:after="0"/>
        <w:rPr>
          <w:sz w:val="28"/>
          <w:szCs w:val="28"/>
        </w:rPr>
      </w:pPr>
      <w:r>
        <w:rPr>
          <w:sz w:val="28"/>
          <w:szCs w:val="28"/>
        </w:rPr>
        <w:t>82</w:t>
      </w:r>
      <w:r w:rsidR="003E35B6" w:rsidRPr="0002602D">
        <w:rPr>
          <w:sz w:val="28"/>
          <w:szCs w:val="28"/>
        </w:rPr>
        <w:t>% of PP</w:t>
      </w:r>
      <w:r w:rsidR="003E35B6">
        <w:rPr>
          <w:sz w:val="28"/>
          <w:szCs w:val="28"/>
        </w:rPr>
        <w:t xml:space="preserve"> pupils had made good progress in their PIRA Reading Test Standardised Scores</w:t>
      </w:r>
      <w:r w:rsidR="009F0362">
        <w:rPr>
          <w:sz w:val="28"/>
          <w:szCs w:val="28"/>
        </w:rPr>
        <w:t xml:space="preserve"> </w:t>
      </w:r>
      <w:r>
        <w:rPr>
          <w:sz w:val="28"/>
          <w:szCs w:val="28"/>
        </w:rPr>
        <w:t xml:space="preserve">between </w:t>
      </w:r>
      <w:r w:rsidR="009F0362">
        <w:rPr>
          <w:sz w:val="28"/>
          <w:szCs w:val="28"/>
        </w:rPr>
        <w:t>December 2017 and June 2018</w:t>
      </w:r>
      <w:r w:rsidR="003E35B6" w:rsidRPr="0002602D">
        <w:rPr>
          <w:sz w:val="28"/>
          <w:szCs w:val="28"/>
        </w:rPr>
        <w:t>.</w:t>
      </w:r>
    </w:p>
    <w:p w:rsidR="003E35B6" w:rsidRDefault="009F0362" w:rsidP="0002602D">
      <w:pPr>
        <w:spacing w:after="0"/>
        <w:rPr>
          <w:sz w:val="28"/>
          <w:szCs w:val="28"/>
        </w:rPr>
      </w:pPr>
      <w:r>
        <w:rPr>
          <w:sz w:val="28"/>
          <w:szCs w:val="28"/>
        </w:rPr>
        <w:t>18</w:t>
      </w:r>
      <w:r w:rsidR="003E35B6" w:rsidRPr="0002602D">
        <w:rPr>
          <w:sz w:val="28"/>
          <w:szCs w:val="28"/>
        </w:rPr>
        <w:t>% mad</w:t>
      </w:r>
      <w:r w:rsidR="003E35B6">
        <w:rPr>
          <w:sz w:val="28"/>
          <w:szCs w:val="28"/>
        </w:rPr>
        <w:t xml:space="preserve">e Accelerated progress of </w:t>
      </w:r>
      <w:r w:rsidR="003E35B6" w:rsidRPr="0002602D">
        <w:rPr>
          <w:sz w:val="28"/>
          <w:szCs w:val="28"/>
        </w:rPr>
        <w:t xml:space="preserve">an </w:t>
      </w:r>
      <w:r w:rsidR="003E35B6">
        <w:rPr>
          <w:sz w:val="28"/>
          <w:szCs w:val="28"/>
        </w:rPr>
        <w:t>increase of 5+ in their Standardised Score for</w:t>
      </w:r>
      <w:r w:rsidR="003E35B6" w:rsidRPr="0002602D">
        <w:rPr>
          <w:sz w:val="28"/>
          <w:szCs w:val="28"/>
        </w:rPr>
        <w:t xml:space="preserve"> the same period.</w:t>
      </w:r>
    </w:p>
    <w:p w:rsidR="00C022BD" w:rsidRDefault="00C022BD" w:rsidP="0002602D">
      <w:pPr>
        <w:spacing w:after="0"/>
        <w:rPr>
          <w:sz w:val="28"/>
          <w:szCs w:val="28"/>
        </w:rPr>
      </w:pPr>
    </w:p>
    <w:p w:rsidR="00C022BD" w:rsidRPr="0002602D" w:rsidRDefault="00C022BD" w:rsidP="00C022BD">
      <w:pPr>
        <w:spacing w:after="0"/>
        <w:rPr>
          <w:sz w:val="28"/>
          <w:szCs w:val="28"/>
        </w:rPr>
      </w:pPr>
      <w:r>
        <w:rPr>
          <w:sz w:val="28"/>
          <w:szCs w:val="28"/>
        </w:rPr>
        <w:t>91</w:t>
      </w:r>
      <w:r w:rsidRPr="0002602D">
        <w:rPr>
          <w:sz w:val="28"/>
          <w:szCs w:val="28"/>
        </w:rPr>
        <w:t>% of PP</w:t>
      </w:r>
      <w:r>
        <w:rPr>
          <w:sz w:val="28"/>
          <w:szCs w:val="28"/>
        </w:rPr>
        <w:t xml:space="preserve"> pupils had made good progress in their PUMA Maths Test Standardised Scores </w:t>
      </w:r>
      <w:r w:rsidR="00B90B00">
        <w:rPr>
          <w:sz w:val="28"/>
          <w:szCs w:val="28"/>
        </w:rPr>
        <w:t xml:space="preserve">between </w:t>
      </w:r>
      <w:r>
        <w:rPr>
          <w:sz w:val="28"/>
          <w:szCs w:val="28"/>
        </w:rPr>
        <w:t>December 2017 and June 2018</w:t>
      </w:r>
      <w:r w:rsidRPr="0002602D">
        <w:rPr>
          <w:sz w:val="28"/>
          <w:szCs w:val="28"/>
        </w:rPr>
        <w:t>.</w:t>
      </w:r>
    </w:p>
    <w:p w:rsidR="00C022BD" w:rsidRDefault="00C022BD" w:rsidP="00C022BD">
      <w:pPr>
        <w:spacing w:after="0"/>
        <w:rPr>
          <w:sz w:val="28"/>
          <w:szCs w:val="28"/>
        </w:rPr>
      </w:pPr>
      <w:r>
        <w:rPr>
          <w:sz w:val="28"/>
          <w:szCs w:val="28"/>
        </w:rPr>
        <w:t>55</w:t>
      </w:r>
      <w:r w:rsidRPr="0002602D">
        <w:rPr>
          <w:sz w:val="28"/>
          <w:szCs w:val="28"/>
        </w:rPr>
        <w:t>% mad</w:t>
      </w:r>
      <w:r>
        <w:rPr>
          <w:sz w:val="28"/>
          <w:szCs w:val="28"/>
        </w:rPr>
        <w:t xml:space="preserve">e Accelerated progress of </w:t>
      </w:r>
      <w:r w:rsidRPr="0002602D">
        <w:rPr>
          <w:sz w:val="28"/>
          <w:szCs w:val="28"/>
        </w:rPr>
        <w:t xml:space="preserve">an </w:t>
      </w:r>
      <w:r>
        <w:rPr>
          <w:sz w:val="28"/>
          <w:szCs w:val="28"/>
        </w:rPr>
        <w:t>increase of 5+ in their Standardised Score for</w:t>
      </w:r>
      <w:r w:rsidRPr="0002602D">
        <w:rPr>
          <w:sz w:val="28"/>
          <w:szCs w:val="28"/>
        </w:rPr>
        <w:t xml:space="preserve"> the same period.</w:t>
      </w:r>
    </w:p>
    <w:p w:rsidR="00B90B00" w:rsidRPr="00D91036" w:rsidRDefault="00B90B00" w:rsidP="00C022BD">
      <w:pPr>
        <w:spacing w:after="0"/>
        <w:rPr>
          <w:sz w:val="16"/>
          <w:szCs w:val="16"/>
        </w:rPr>
      </w:pPr>
    </w:p>
    <w:p w:rsidR="00B90B00" w:rsidRPr="0002602D" w:rsidRDefault="00B90B00" w:rsidP="00B90B00">
      <w:pPr>
        <w:spacing w:after="0"/>
        <w:rPr>
          <w:sz w:val="28"/>
          <w:szCs w:val="28"/>
        </w:rPr>
      </w:pPr>
      <w:r>
        <w:rPr>
          <w:sz w:val="28"/>
          <w:szCs w:val="28"/>
        </w:rPr>
        <w:t>80</w:t>
      </w:r>
      <w:r w:rsidRPr="0002602D">
        <w:rPr>
          <w:sz w:val="28"/>
          <w:szCs w:val="28"/>
        </w:rPr>
        <w:t>% of PP</w:t>
      </w:r>
      <w:r>
        <w:rPr>
          <w:sz w:val="28"/>
          <w:szCs w:val="28"/>
        </w:rPr>
        <w:t xml:space="preserve"> pupils had made good progress in their STAR Reading Test Normalised Standardised Scores from March 2018 and June 2018</w:t>
      </w:r>
      <w:r w:rsidRPr="0002602D">
        <w:rPr>
          <w:sz w:val="28"/>
          <w:szCs w:val="28"/>
        </w:rPr>
        <w:t>.</w:t>
      </w:r>
    </w:p>
    <w:p w:rsidR="00B90B00" w:rsidRPr="0002602D" w:rsidRDefault="00B90B00" w:rsidP="00B90B00">
      <w:pPr>
        <w:spacing w:after="0"/>
        <w:rPr>
          <w:sz w:val="28"/>
          <w:szCs w:val="28"/>
        </w:rPr>
      </w:pPr>
      <w:r>
        <w:rPr>
          <w:sz w:val="28"/>
          <w:szCs w:val="28"/>
        </w:rPr>
        <w:t>40</w:t>
      </w:r>
      <w:r w:rsidRPr="0002602D">
        <w:rPr>
          <w:sz w:val="28"/>
          <w:szCs w:val="28"/>
        </w:rPr>
        <w:t>% mad</w:t>
      </w:r>
      <w:r>
        <w:rPr>
          <w:sz w:val="28"/>
          <w:szCs w:val="28"/>
        </w:rPr>
        <w:t xml:space="preserve">e Accelerated progress of </w:t>
      </w:r>
      <w:r w:rsidRPr="0002602D">
        <w:rPr>
          <w:sz w:val="28"/>
          <w:szCs w:val="28"/>
        </w:rPr>
        <w:t xml:space="preserve">an </w:t>
      </w:r>
      <w:r>
        <w:rPr>
          <w:sz w:val="28"/>
          <w:szCs w:val="28"/>
        </w:rPr>
        <w:t>increase of 5+ in their NR Standardised Score for</w:t>
      </w:r>
      <w:r w:rsidRPr="0002602D">
        <w:rPr>
          <w:sz w:val="28"/>
          <w:szCs w:val="28"/>
        </w:rPr>
        <w:t xml:space="preserve"> the same period.</w:t>
      </w:r>
    </w:p>
    <w:p w:rsidR="00B90B00" w:rsidRPr="0002602D" w:rsidRDefault="00B90B00" w:rsidP="00C022BD">
      <w:pPr>
        <w:spacing w:after="0"/>
        <w:rPr>
          <w:sz w:val="28"/>
          <w:szCs w:val="28"/>
        </w:rPr>
      </w:pPr>
    </w:p>
    <w:p w:rsidR="00C022BD" w:rsidRDefault="00B90B00" w:rsidP="0002602D">
      <w:pPr>
        <w:spacing w:after="0"/>
        <w:rPr>
          <w:sz w:val="28"/>
          <w:szCs w:val="28"/>
          <w:u w:val="single"/>
        </w:rPr>
      </w:pPr>
      <w:r w:rsidRPr="00B90B00">
        <w:rPr>
          <w:sz w:val="28"/>
          <w:szCs w:val="28"/>
          <w:u w:val="single"/>
        </w:rPr>
        <w:t>End of Year Outcomes</w:t>
      </w:r>
    </w:p>
    <w:p w:rsidR="00B90B00" w:rsidRDefault="00B90B00" w:rsidP="0002602D">
      <w:pPr>
        <w:spacing w:after="0"/>
        <w:rPr>
          <w:sz w:val="28"/>
          <w:szCs w:val="28"/>
        </w:rPr>
      </w:pPr>
      <w:r w:rsidRPr="00B90B00">
        <w:rPr>
          <w:sz w:val="28"/>
          <w:szCs w:val="28"/>
        </w:rPr>
        <w:t>91%</w:t>
      </w:r>
      <w:r>
        <w:rPr>
          <w:sz w:val="28"/>
          <w:szCs w:val="28"/>
        </w:rPr>
        <w:t xml:space="preserve"> of possible end of year outcomes remained stable or went up indicating good and expected progress.</w:t>
      </w:r>
    </w:p>
    <w:p w:rsidR="001C5ADD" w:rsidRPr="00D91036" w:rsidRDefault="001C5ADD" w:rsidP="0002602D">
      <w:pPr>
        <w:spacing w:after="0"/>
        <w:rPr>
          <w:sz w:val="16"/>
          <w:szCs w:val="16"/>
        </w:rPr>
      </w:pPr>
    </w:p>
    <w:p w:rsidR="00B90B00" w:rsidRDefault="00B90B00" w:rsidP="0002602D">
      <w:pPr>
        <w:spacing w:after="0"/>
        <w:rPr>
          <w:sz w:val="28"/>
          <w:szCs w:val="28"/>
        </w:rPr>
      </w:pPr>
      <w:r>
        <w:rPr>
          <w:sz w:val="28"/>
          <w:szCs w:val="28"/>
        </w:rPr>
        <w:t xml:space="preserve">For 3 children one possible outcome dropped a category because they were over assessed in reading at the end of year 4 not because progress slowed (see PIRA data &amp; Star Test data). </w:t>
      </w:r>
    </w:p>
    <w:p w:rsidR="001C5ADD" w:rsidRPr="00D91036" w:rsidRDefault="001C5ADD" w:rsidP="0002602D">
      <w:pPr>
        <w:spacing w:after="0"/>
        <w:rPr>
          <w:sz w:val="16"/>
          <w:szCs w:val="16"/>
        </w:rPr>
      </w:pPr>
    </w:p>
    <w:p w:rsidR="001C5ADD" w:rsidRDefault="001C5ADD" w:rsidP="0002602D">
      <w:pPr>
        <w:spacing w:after="0"/>
        <w:rPr>
          <w:sz w:val="28"/>
          <w:szCs w:val="28"/>
        </w:rPr>
      </w:pPr>
      <w:r>
        <w:rPr>
          <w:sz w:val="28"/>
          <w:szCs w:val="28"/>
        </w:rPr>
        <w:t xml:space="preserve">In 39% of outcomes pupils </w:t>
      </w:r>
      <w:proofErr w:type="gramStart"/>
      <w:r>
        <w:rPr>
          <w:sz w:val="28"/>
          <w:szCs w:val="28"/>
        </w:rPr>
        <w:t>rose</w:t>
      </w:r>
      <w:proofErr w:type="gramEnd"/>
      <w:r>
        <w:rPr>
          <w:sz w:val="28"/>
          <w:szCs w:val="28"/>
        </w:rPr>
        <w:t xml:space="preserve"> a category (i.e. WTS to EXS or EXS to GDS) which shows the significant impact the interventions provided by PP money had on these pupils.</w:t>
      </w:r>
    </w:p>
    <w:p w:rsidR="00C52394" w:rsidRDefault="00C52394" w:rsidP="0002602D">
      <w:pPr>
        <w:spacing w:after="0"/>
        <w:rPr>
          <w:sz w:val="28"/>
          <w:szCs w:val="28"/>
        </w:rPr>
      </w:pPr>
    </w:p>
    <w:p w:rsidR="00C52394" w:rsidRPr="00C52394" w:rsidRDefault="00C52394" w:rsidP="00C52394">
      <w:pPr>
        <w:pStyle w:val="ListParagraph"/>
        <w:numPr>
          <w:ilvl w:val="0"/>
          <w:numId w:val="1"/>
        </w:numPr>
        <w:spacing w:after="0"/>
        <w:rPr>
          <w:b/>
          <w:sz w:val="32"/>
          <w:szCs w:val="32"/>
          <w:u w:val="single"/>
        </w:rPr>
      </w:pPr>
      <w:r w:rsidRPr="00C52394">
        <w:rPr>
          <w:b/>
          <w:sz w:val="32"/>
          <w:szCs w:val="32"/>
          <w:u w:val="single"/>
        </w:rPr>
        <w:t>Pupil Premium</w:t>
      </w:r>
      <w:r>
        <w:rPr>
          <w:b/>
          <w:sz w:val="32"/>
          <w:szCs w:val="32"/>
          <w:u w:val="single"/>
        </w:rPr>
        <w:t xml:space="preserve"> Progress – Year 2</w:t>
      </w:r>
      <w:r w:rsidRPr="00C52394">
        <w:rPr>
          <w:b/>
          <w:sz w:val="32"/>
          <w:szCs w:val="32"/>
          <w:u w:val="single"/>
        </w:rPr>
        <w:t xml:space="preserve"> End of KS2 SATS 2018</w:t>
      </w:r>
    </w:p>
    <w:p w:rsidR="00CB70C6" w:rsidRPr="00CB70C6" w:rsidRDefault="00EA2BDB" w:rsidP="00CB70C6">
      <w:pPr>
        <w:pStyle w:val="ListParagraph"/>
        <w:spacing w:after="0"/>
        <w:rPr>
          <w:b/>
          <w:sz w:val="32"/>
          <w:szCs w:val="32"/>
          <w:u w:val="single"/>
        </w:rPr>
      </w:pPr>
      <w:r>
        <w:rPr>
          <w:b/>
          <w:sz w:val="32"/>
          <w:szCs w:val="32"/>
          <w:u w:val="single"/>
        </w:rPr>
        <w:t>Pupil J</w:t>
      </w:r>
    </w:p>
    <w:tbl>
      <w:tblPr>
        <w:tblStyle w:val="TableGrid"/>
        <w:tblW w:w="10858" w:type="dxa"/>
        <w:tblInd w:w="-176" w:type="dxa"/>
        <w:tblLook w:val="04A0" w:firstRow="1" w:lastRow="0" w:firstColumn="1" w:lastColumn="0" w:noHBand="0" w:noVBand="1"/>
      </w:tblPr>
      <w:tblGrid>
        <w:gridCol w:w="2714"/>
        <w:gridCol w:w="2715"/>
        <w:gridCol w:w="2714"/>
        <w:gridCol w:w="2715"/>
      </w:tblGrid>
      <w:tr w:rsidR="00CB70C6" w:rsidTr="000B691A">
        <w:tc>
          <w:tcPr>
            <w:tcW w:w="2714" w:type="dxa"/>
          </w:tcPr>
          <w:p w:rsidR="00CB70C6" w:rsidRDefault="00CB70C6" w:rsidP="000B691A">
            <w:pPr>
              <w:rPr>
                <w:b/>
                <w:sz w:val="32"/>
                <w:szCs w:val="32"/>
              </w:rPr>
            </w:pPr>
            <w:r>
              <w:rPr>
                <w:b/>
                <w:sz w:val="32"/>
                <w:szCs w:val="32"/>
              </w:rPr>
              <w:t>Subject</w:t>
            </w:r>
          </w:p>
        </w:tc>
        <w:tc>
          <w:tcPr>
            <w:tcW w:w="2715" w:type="dxa"/>
          </w:tcPr>
          <w:p w:rsidR="00CB70C6" w:rsidRPr="00702D3B" w:rsidRDefault="00CB70C6" w:rsidP="00CB70C6">
            <w:pPr>
              <w:rPr>
                <w:b/>
                <w:sz w:val="32"/>
                <w:szCs w:val="32"/>
              </w:rPr>
            </w:pPr>
            <w:r>
              <w:rPr>
                <w:b/>
                <w:sz w:val="32"/>
                <w:szCs w:val="32"/>
              </w:rPr>
              <w:t xml:space="preserve">End of </w:t>
            </w:r>
            <w:proofErr w:type="spellStart"/>
            <w:r>
              <w:rPr>
                <w:b/>
                <w:sz w:val="32"/>
                <w:szCs w:val="32"/>
              </w:rPr>
              <w:t>Yr</w:t>
            </w:r>
            <w:proofErr w:type="spellEnd"/>
            <w:r>
              <w:rPr>
                <w:b/>
                <w:sz w:val="32"/>
                <w:szCs w:val="32"/>
              </w:rPr>
              <w:t xml:space="preserve"> R. Level</w:t>
            </w:r>
          </w:p>
        </w:tc>
        <w:tc>
          <w:tcPr>
            <w:tcW w:w="2714" w:type="dxa"/>
          </w:tcPr>
          <w:p w:rsidR="00CB70C6" w:rsidRPr="00702D3B" w:rsidRDefault="00CB70C6" w:rsidP="00CB70C6">
            <w:pPr>
              <w:rPr>
                <w:b/>
                <w:sz w:val="32"/>
                <w:szCs w:val="32"/>
              </w:rPr>
            </w:pPr>
            <w:r>
              <w:rPr>
                <w:b/>
                <w:sz w:val="32"/>
                <w:szCs w:val="32"/>
              </w:rPr>
              <w:t xml:space="preserve">End of </w:t>
            </w:r>
            <w:proofErr w:type="spellStart"/>
            <w:r>
              <w:rPr>
                <w:b/>
                <w:sz w:val="32"/>
                <w:szCs w:val="32"/>
              </w:rPr>
              <w:t>Yr</w:t>
            </w:r>
            <w:proofErr w:type="spellEnd"/>
            <w:r>
              <w:rPr>
                <w:b/>
                <w:sz w:val="32"/>
                <w:szCs w:val="32"/>
              </w:rPr>
              <w:t xml:space="preserve"> 1 Level</w:t>
            </w:r>
          </w:p>
        </w:tc>
        <w:tc>
          <w:tcPr>
            <w:tcW w:w="2715" w:type="dxa"/>
          </w:tcPr>
          <w:p w:rsidR="00CB70C6" w:rsidRPr="00702D3B" w:rsidRDefault="00CB70C6" w:rsidP="000B691A">
            <w:pPr>
              <w:rPr>
                <w:b/>
                <w:sz w:val="32"/>
                <w:szCs w:val="32"/>
              </w:rPr>
            </w:pPr>
            <w:proofErr w:type="spellStart"/>
            <w:r>
              <w:rPr>
                <w:b/>
                <w:sz w:val="32"/>
                <w:szCs w:val="32"/>
              </w:rPr>
              <w:t>Yr</w:t>
            </w:r>
            <w:proofErr w:type="spellEnd"/>
            <w:r>
              <w:rPr>
                <w:b/>
                <w:sz w:val="32"/>
                <w:szCs w:val="32"/>
              </w:rPr>
              <w:t xml:space="preserve"> 2 SATS Result</w:t>
            </w:r>
          </w:p>
        </w:tc>
      </w:tr>
      <w:tr w:rsidR="00CB70C6" w:rsidTr="000B691A">
        <w:tc>
          <w:tcPr>
            <w:tcW w:w="2714" w:type="dxa"/>
          </w:tcPr>
          <w:p w:rsidR="00CB70C6" w:rsidRDefault="00CB70C6" w:rsidP="000B691A">
            <w:pPr>
              <w:rPr>
                <w:sz w:val="32"/>
                <w:szCs w:val="32"/>
              </w:rPr>
            </w:pPr>
            <w:r>
              <w:rPr>
                <w:sz w:val="32"/>
                <w:szCs w:val="32"/>
              </w:rPr>
              <w:t>Reading</w:t>
            </w:r>
          </w:p>
        </w:tc>
        <w:tc>
          <w:tcPr>
            <w:tcW w:w="2715" w:type="dxa"/>
          </w:tcPr>
          <w:p w:rsidR="00CB70C6" w:rsidRDefault="00D91036" w:rsidP="000B691A">
            <w:pPr>
              <w:jc w:val="center"/>
              <w:rPr>
                <w:sz w:val="32"/>
                <w:szCs w:val="32"/>
              </w:rPr>
            </w:pPr>
            <w:r>
              <w:rPr>
                <w:sz w:val="32"/>
                <w:szCs w:val="32"/>
              </w:rPr>
              <w:t>EXS</w:t>
            </w:r>
          </w:p>
        </w:tc>
        <w:tc>
          <w:tcPr>
            <w:tcW w:w="2714" w:type="dxa"/>
          </w:tcPr>
          <w:p w:rsidR="00CB70C6" w:rsidRDefault="00D91036" w:rsidP="000B691A">
            <w:pPr>
              <w:jc w:val="center"/>
              <w:rPr>
                <w:sz w:val="32"/>
                <w:szCs w:val="32"/>
              </w:rPr>
            </w:pPr>
            <w:r>
              <w:rPr>
                <w:sz w:val="32"/>
                <w:szCs w:val="32"/>
              </w:rPr>
              <w:t>WTS</w:t>
            </w:r>
          </w:p>
        </w:tc>
        <w:tc>
          <w:tcPr>
            <w:tcW w:w="2715" w:type="dxa"/>
            <w:shd w:val="clear" w:color="auto" w:fill="92D050"/>
          </w:tcPr>
          <w:p w:rsidR="00CB70C6" w:rsidRDefault="00D91036" w:rsidP="000B691A">
            <w:pPr>
              <w:jc w:val="center"/>
              <w:rPr>
                <w:sz w:val="32"/>
                <w:szCs w:val="32"/>
              </w:rPr>
            </w:pPr>
            <w:r>
              <w:rPr>
                <w:sz w:val="32"/>
                <w:szCs w:val="32"/>
              </w:rPr>
              <w:t>101 - EXS</w:t>
            </w:r>
          </w:p>
        </w:tc>
      </w:tr>
      <w:tr w:rsidR="00CB70C6" w:rsidTr="000B691A">
        <w:tc>
          <w:tcPr>
            <w:tcW w:w="2714" w:type="dxa"/>
          </w:tcPr>
          <w:p w:rsidR="00CB70C6" w:rsidRDefault="00CB70C6" w:rsidP="000B691A">
            <w:pPr>
              <w:rPr>
                <w:sz w:val="32"/>
                <w:szCs w:val="32"/>
              </w:rPr>
            </w:pPr>
            <w:r>
              <w:rPr>
                <w:sz w:val="32"/>
                <w:szCs w:val="32"/>
              </w:rPr>
              <w:t>Writing</w:t>
            </w:r>
          </w:p>
        </w:tc>
        <w:tc>
          <w:tcPr>
            <w:tcW w:w="2715" w:type="dxa"/>
          </w:tcPr>
          <w:p w:rsidR="00CB70C6" w:rsidRDefault="000248AA" w:rsidP="000B691A">
            <w:pPr>
              <w:jc w:val="center"/>
              <w:rPr>
                <w:sz w:val="32"/>
                <w:szCs w:val="32"/>
              </w:rPr>
            </w:pPr>
            <w:r>
              <w:rPr>
                <w:sz w:val="32"/>
                <w:szCs w:val="32"/>
              </w:rPr>
              <w:t>EXS</w:t>
            </w:r>
          </w:p>
        </w:tc>
        <w:tc>
          <w:tcPr>
            <w:tcW w:w="2714" w:type="dxa"/>
          </w:tcPr>
          <w:p w:rsidR="00CB70C6" w:rsidRDefault="000248AA" w:rsidP="000B691A">
            <w:pPr>
              <w:jc w:val="center"/>
              <w:rPr>
                <w:sz w:val="32"/>
                <w:szCs w:val="32"/>
              </w:rPr>
            </w:pPr>
            <w:r>
              <w:rPr>
                <w:sz w:val="32"/>
                <w:szCs w:val="32"/>
              </w:rPr>
              <w:t>WTS</w:t>
            </w:r>
          </w:p>
        </w:tc>
        <w:tc>
          <w:tcPr>
            <w:tcW w:w="2715" w:type="dxa"/>
            <w:shd w:val="clear" w:color="auto" w:fill="92D050"/>
          </w:tcPr>
          <w:p w:rsidR="00CB70C6" w:rsidRDefault="000248AA" w:rsidP="000B691A">
            <w:pPr>
              <w:jc w:val="center"/>
              <w:rPr>
                <w:sz w:val="32"/>
                <w:szCs w:val="32"/>
              </w:rPr>
            </w:pPr>
            <w:r>
              <w:rPr>
                <w:sz w:val="32"/>
                <w:szCs w:val="32"/>
              </w:rPr>
              <w:t>EXS</w:t>
            </w:r>
          </w:p>
        </w:tc>
      </w:tr>
      <w:tr w:rsidR="00CB70C6" w:rsidTr="00D91036">
        <w:tc>
          <w:tcPr>
            <w:tcW w:w="2714" w:type="dxa"/>
          </w:tcPr>
          <w:p w:rsidR="00CB70C6" w:rsidRDefault="00CB70C6" w:rsidP="000B691A">
            <w:pPr>
              <w:rPr>
                <w:sz w:val="32"/>
                <w:szCs w:val="32"/>
              </w:rPr>
            </w:pPr>
            <w:r>
              <w:rPr>
                <w:sz w:val="32"/>
                <w:szCs w:val="32"/>
              </w:rPr>
              <w:t>Maths</w:t>
            </w:r>
          </w:p>
        </w:tc>
        <w:tc>
          <w:tcPr>
            <w:tcW w:w="2715" w:type="dxa"/>
          </w:tcPr>
          <w:p w:rsidR="00CB70C6" w:rsidRDefault="000248AA" w:rsidP="000B691A">
            <w:pPr>
              <w:jc w:val="center"/>
              <w:rPr>
                <w:sz w:val="32"/>
                <w:szCs w:val="32"/>
              </w:rPr>
            </w:pPr>
            <w:r>
              <w:rPr>
                <w:sz w:val="32"/>
                <w:szCs w:val="32"/>
              </w:rPr>
              <w:t>EXS</w:t>
            </w:r>
          </w:p>
        </w:tc>
        <w:tc>
          <w:tcPr>
            <w:tcW w:w="2714" w:type="dxa"/>
          </w:tcPr>
          <w:p w:rsidR="00CB70C6" w:rsidRDefault="000248AA" w:rsidP="000B691A">
            <w:pPr>
              <w:jc w:val="center"/>
              <w:rPr>
                <w:sz w:val="32"/>
                <w:szCs w:val="32"/>
              </w:rPr>
            </w:pPr>
            <w:r>
              <w:rPr>
                <w:sz w:val="32"/>
                <w:szCs w:val="32"/>
              </w:rPr>
              <w:t>EXS</w:t>
            </w:r>
          </w:p>
        </w:tc>
        <w:tc>
          <w:tcPr>
            <w:tcW w:w="2715" w:type="dxa"/>
            <w:shd w:val="clear" w:color="auto" w:fill="auto"/>
          </w:tcPr>
          <w:p w:rsidR="00CB70C6" w:rsidRDefault="000248AA" w:rsidP="000B691A">
            <w:pPr>
              <w:jc w:val="center"/>
              <w:rPr>
                <w:sz w:val="32"/>
                <w:szCs w:val="32"/>
              </w:rPr>
            </w:pPr>
            <w:r>
              <w:rPr>
                <w:sz w:val="32"/>
                <w:szCs w:val="32"/>
              </w:rPr>
              <w:t>101 - EXS</w:t>
            </w:r>
          </w:p>
        </w:tc>
      </w:tr>
    </w:tbl>
    <w:p w:rsidR="00C52394" w:rsidRDefault="00EA2BDB" w:rsidP="0002602D">
      <w:pPr>
        <w:spacing w:after="0"/>
        <w:rPr>
          <w:sz w:val="28"/>
          <w:szCs w:val="28"/>
        </w:rPr>
      </w:pPr>
      <w:r>
        <w:rPr>
          <w:sz w:val="28"/>
          <w:szCs w:val="28"/>
        </w:rPr>
        <w:t>Pupil J</w:t>
      </w:r>
      <w:r w:rsidR="00D91036">
        <w:rPr>
          <w:sz w:val="28"/>
          <w:szCs w:val="28"/>
        </w:rPr>
        <w:t xml:space="preserve"> has always been a borderline pupil and he was assessed at WTS at the end of Year 1 in Reading and Writing. Specific interventions funded by PP money ensured he was boosted over Year 2 and attained the expected standard in R, W &amp; M.</w:t>
      </w:r>
    </w:p>
    <w:p w:rsidR="00D91036" w:rsidRDefault="00D91036" w:rsidP="0002602D">
      <w:pPr>
        <w:spacing w:after="0"/>
        <w:rPr>
          <w:sz w:val="28"/>
          <w:szCs w:val="28"/>
        </w:rPr>
      </w:pPr>
    </w:p>
    <w:p w:rsidR="00D91036" w:rsidRDefault="00D91036" w:rsidP="00D91036">
      <w:pPr>
        <w:pStyle w:val="ListParagraph"/>
        <w:numPr>
          <w:ilvl w:val="0"/>
          <w:numId w:val="1"/>
        </w:numPr>
        <w:spacing w:after="0"/>
        <w:rPr>
          <w:b/>
          <w:sz w:val="28"/>
          <w:szCs w:val="28"/>
          <w:u w:val="single"/>
        </w:rPr>
      </w:pPr>
      <w:r w:rsidRPr="00D91036">
        <w:rPr>
          <w:b/>
          <w:sz w:val="28"/>
          <w:szCs w:val="28"/>
          <w:u w:val="single"/>
        </w:rPr>
        <w:t>Year 1 Phonics Test</w:t>
      </w:r>
      <w:r>
        <w:rPr>
          <w:b/>
          <w:sz w:val="28"/>
          <w:szCs w:val="28"/>
          <w:u w:val="single"/>
        </w:rPr>
        <w:t xml:space="preserve"> 2018</w:t>
      </w:r>
    </w:p>
    <w:p w:rsidR="00D91036" w:rsidRPr="00CB70C6" w:rsidRDefault="00EA2BDB" w:rsidP="00D91036">
      <w:pPr>
        <w:pStyle w:val="ListParagraph"/>
        <w:spacing w:after="0"/>
        <w:rPr>
          <w:b/>
          <w:sz w:val="32"/>
          <w:szCs w:val="32"/>
          <w:u w:val="single"/>
        </w:rPr>
      </w:pPr>
      <w:r>
        <w:rPr>
          <w:b/>
          <w:sz w:val="32"/>
          <w:szCs w:val="32"/>
          <w:u w:val="single"/>
        </w:rPr>
        <w:t>Pupil K</w:t>
      </w:r>
    </w:p>
    <w:tbl>
      <w:tblPr>
        <w:tblStyle w:val="TableGrid"/>
        <w:tblW w:w="10858" w:type="dxa"/>
        <w:tblInd w:w="-176" w:type="dxa"/>
        <w:tblLook w:val="04A0" w:firstRow="1" w:lastRow="0" w:firstColumn="1" w:lastColumn="0" w:noHBand="0" w:noVBand="1"/>
      </w:tblPr>
      <w:tblGrid>
        <w:gridCol w:w="2714"/>
        <w:gridCol w:w="2715"/>
        <w:gridCol w:w="2714"/>
        <w:gridCol w:w="2715"/>
      </w:tblGrid>
      <w:tr w:rsidR="00D91036" w:rsidTr="000B691A">
        <w:tc>
          <w:tcPr>
            <w:tcW w:w="2714" w:type="dxa"/>
          </w:tcPr>
          <w:p w:rsidR="00D91036" w:rsidRDefault="00D91036" w:rsidP="000B691A">
            <w:pPr>
              <w:rPr>
                <w:b/>
                <w:sz w:val="32"/>
                <w:szCs w:val="32"/>
              </w:rPr>
            </w:pPr>
          </w:p>
        </w:tc>
        <w:tc>
          <w:tcPr>
            <w:tcW w:w="2715" w:type="dxa"/>
          </w:tcPr>
          <w:p w:rsidR="00D91036" w:rsidRPr="00702D3B" w:rsidRDefault="00D91036" w:rsidP="000B691A">
            <w:pPr>
              <w:rPr>
                <w:b/>
                <w:sz w:val="32"/>
                <w:szCs w:val="32"/>
              </w:rPr>
            </w:pPr>
          </w:p>
        </w:tc>
        <w:tc>
          <w:tcPr>
            <w:tcW w:w="2714" w:type="dxa"/>
          </w:tcPr>
          <w:p w:rsidR="00D91036" w:rsidRPr="00702D3B" w:rsidRDefault="00D91036" w:rsidP="000B691A">
            <w:pPr>
              <w:rPr>
                <w:b/>
                <w:sz w:val="32"/>
                <w:szCs w:val="32"/>
              </w:rPr>
            </w:pPr>
          </w:p>
        </w:tc>
        <w:tc>
          <w:tcPr>
            <w:tcW w:w="2715" w:type="dxa"/>
          </w:tcPr>
          <w:p w:rsidR="00D91036" w:rsidRPr="00702D3B" w:rsidRDefault="00D91036" w:rsidP="000B691A">
            <w:pPr>
              <w:rPr>
                <w:b/>
                <w:sz w:val="32"/>
                <w:szCs w:val="32"/>
              </w:rPr>
            </w:pPr>
            <w:proofErr w:type="spellStart"/>
            <w:r>
              <w:rPr>
                <w:b/>
                <w:sz w:val="32"/>
                <w:szCs w:val="32"/>
              </w:rPr>
              <w:t>Yr</w:t>
            </w:r>
            <w:proofErr w:type="spellEnd"/>
            <w:r>
              <w:rPr>
                <w:b/>
                <w:sz w:val="32"/>
                <w:szCs w:val="32"/>
              </w:rPr>
              <w:t xml:space="preserve"> 1 Phonic Result</w:t>
            </w:r>
          </w:p>
        </w:tc>
      </w:tr>
      <w:tr w:rsidR="00D91036" w:rsidTr="000B691A">
        <w:tc>
          <w:tcPr>
            <w:tcW w:w="2714" w:type="dxa"/>
          </w:tcPr>
          <w:p w:rsidR="00D91036" w:rsidRDefault="00D91036" w:rsidP="000B691A">
            <w:pPr>
              <w:rPr>
                <w:sz w:val="32"/>
                <w:szCs w:val="32"/>
              </w:rPr>
            </w:pPr>
          </w:p>
        </w:tc>
        <w:tc>
          <w:tcPr>
            <w:tcW w:w="2715" w:type="dxa"/>
          </w:tcPr>
          <w:p w:rsidR="00D91036" w:rsidRDefault="00D91036" w:rsidP="000B691A">
            <w:pPr>
              <w:jc w:val="center"/>
              <w:rPr>
                <w:sz w:val="32"/>
                <w:szCs w:val="32"/>
              </w:rPr>
            </w:pPr>
          </w:p>
        </w:tc>
        <w:tc>
          <w:tcPr>
            <w:tcW w:w="2714" w:type="dxa"/>
          </w:tcPr>
          <w:p w:rsidR="00D91036" w:rsidRDefault="00D91036" w:rsidP="000B691A">
            <w:pPr>
              <w:jc w:val="center"/>
              <w:rPr>
                <w:sz w:val="32"/>
                <w:szCs w:val="32"/>
              </w:rPr>
            </w:pPr>
          </w:p>
        </w:tc>
        <w:tc>
          <w:tcPr>
            <w:tcW w:w="2715" w:type="dxa"/>
            <w:shd w:val="clear" w:color="auto" w:fill="92D050"/>
          </w:tcPr>
          <w:p w:rsidR="00D91036" w:rsidRDefault="006D7307" w:rsidP="000B691A">
            <w:pPr>
              <w:jc w:val="center"/>
              <w:rPr>
                <w:sz w:val="32"/>
                <w:szCs w:val="32"/>
              </w:rPr>
            </w:pPr>
            <w:r>
              <w:rPr>
                <w:sz w:val="32"/>
                <w:szCs w:val="32"/>
              </w:rPr>
              <w:t>35 - P</w:t>
            </w:r>
          </w:p>
        </w:tc>
      </w:tr>
    </w:tbl>
    <w:p w:rsidR="00D91036" w:rsidRPr="00D91036" w:rsidRDefault="00D91036" w:rsidP="00D91036">
      <w:pPr>
        <w:spacing w:after="0"/>
        <w:rPr>
          <w:b/>
          <w:sz w:val="28"/>
          <w:szCs w:val="28"/>
          <w:u w:val="single"/>
        </w:rPr>
      </w:pPr>
    </w:p>
    <w:sectPr w:rsidR="00D91036" w:rsidRPr="00D91036" w:rsidSect="001542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13" w:rsidRDefault="00775713" w:rsidP="00B610A5">
      <w:pPr>
        <w:spacing w:after="0" w:line="240" w:lineRule="auto"/>
      </w:pPr>
      <w:r>
        <w:separator/>
      </w:r>
    </w:p>
  </w:endnote>
  <w:endnote w:type="continuationSeparator" w:id="0">
    <w:p w:rsidR="00775713" w:rsidRDefault="00775713" w:rsidP="00B6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13" w:rsidRDefault="00775713" w:rsidP="00B610A5">
      <w:pPr>
        <w:spacing w:after="0" w:line="240" w:lineRule="auto"/>
      </w:pPr>
      <w:r>
        <w:separator/>
      </w:r>
    </w:p>
  </w:footnote>
  <w:footnote w:type="continuationSeparator" w:id="0">
    <w:p w:rsidR="00775713" w:rsidRDefault="00775713" w:rsidP="00B61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460DA"/>
    <w:multiLevelType w:val="hybridMultilevel"/>
    <w:tmpl w:val="DD8C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A166A"/>
    <w:multiLevelType w:val="hybridMultilevel"/>
    <w:tmpl w:val="5B44D926"/>
    <w:lvl w:ilvl="0" w:tplc="87EE2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363FFC"/>
    <w:multiLevelType w:val="hybridMultilevel"/>
    <w:tmpl w:val="DD8C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A5"/>
    <w:rsid w:val="00010C1F"/>
    <w:rsid w:val="000248AA"/>
    <w:rsid w:val="0002602D"/>
    <w:rsid w:val="000D0E39"/>
    <w:rsid w:val="001542CF"/>
    <w:rsid w:val="001927FC"/>
    <w:rsid w:val="001C5ADD"/>
    <w:rsid w:val="002D7B6A"/>
    <w:rsid w:val="003E35B6"/>
    <w:rsid w:val="0047027F"/>
    <w:rsid w:val="004F647E"/>
    <w:rsid w:val="005040EC"/>
    <w:rsid w:val="00552446"/>
    <w:rsid w:val="005946CD"/>
    <w:rsid w:val="005D25C1"/>
    <w:rsid w:val="00601F9E"/>
    <w:rsid w:val="00626457"/>
    <w:rsid w:val="00637989"/>
    <w:rsid w:val="00642CC4"/>
    <w:rsid w:val="006D7307"/>
    <w:rsid w:val="00775713"/>
    <w:rsid w:val="00786B25"/>
    <w:rsid w:val="00837FAD"/>
    <w:rsid w:val="00852AFE"/>
    <w:rsid w:val="0085552D"/>
    <w:rsid w:val="00892723"/>
    <w:rsid w:val="00926570"/>
    <w:rsid w:val="009B1CCA"/>
    <w:rsid w:val="009F0362"/>
    <w:rsid w:val="00A12914"/>
    <w:rsid w:val="00A36346"/>
    <w:rsid w:val="00A63C9E"/>
    <w:rsid w:val="00AA1A6F"/>
    <w:rsid w:val="00AF7535"/>
    <w:rsid w:val="00B46624"/>
    <w:rsid w:val="00B610A5"/>
    <w:rsid w:val="00B90B00"/>
    <w:rsid w:val="00BB1E1E"/>
    <w:rsid w:val="00BC3215"/>
    <w:rsid w:val="00C022BD"/>
    <w:rsid w:val="00C52394"/>
    <w:rsid w:val="00CB70C6"/>
    <w:rsid w:val="00CE79B6"/>
    <w:rsid w:val="00D91036"/>
    <w:rsid w:val="00DA69BA"/>
    <w:rsid w:val="00DA738A"/>
    <w:rsid w:val="00E24717"/>
    <w:rsid w:val="00EA2BDB"/>
    <w:rsid w:val="00F972D7"/>
    <w:rsid w:val="00FD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70"/>
  </w:style>
  <w:style w:type="paragraph" w:styleId="Heading2">
    <w:name w:val="heading 2"/>
    <w:basedOn w:val="Normal"/>
    <w:link w:val="Heading2Char"/>
    <w:uiPriority w:val="9"/>
    <w:qFormat/>
    <w:rsid w:val="00DA69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B1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A5"/>
  </w:style>
  <w:style w:type="paragraph" w:styleId="Footer">
    <w:name w:val="footer"/>
    <w:basedOn w:val="Normal"/>
    <w:link w:val="FooterChar"/>
    <w:uiPriority w:val="99"/>
    <w:unhideWhenUsed/>
    <w:rsid w:val="00B6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A5"/>
  </w:style>
  <w:style w:type="paragraph" w:styleId="BalloonText">
    <w:name w:val="Balloon Text"/>
    <w:basedOn w:val="Normal"/>
    <w:link w:val="BalloonTextChar"/>
    <w:uiPriority w:val="99"/>
    <w:semiHidden/>
    <w:unhideWhenUsed/>
    <w:rsid w:val="00B6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A5"/>
    <w:rPr>
      <w:rFonts w:ascii="Tahoma" w:hAnsi="Tahoma" w:cs="Tahoma"/>
      <w:sz w:val="16"/>
      <w:szCs w:val="16"/>
    </w:rPr>
  </w:style>
  <w:style w:type="table" w:styleId="TableGrid">
    <w:name w:val="Table Grid"/>
    <w:basedOn w:val="TableNormal"/>
    <w:uiPriority w:val="59"/>
    <w:rsid w:val="00B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69BA"/>
    <w:rPr>
      <w:rFonts w:ascii="Times New Roman" w:eastAsia="Times New Roman" w:hAnsi="Times New Roman" w:cs="Times New Roman"/>
      <w:b/>
      <w:bCs/>
      <w:sz w:val="36"/>
      <w:szCs w:val="36"/>
      <w:lang w:eastAsia="en-GB"/>
    </w:rPr>
  </w:style>
  <w:style w:type="paragraph" w:customStyle="1" w:styleId="selectionshareable">
    <w:name w:val="selectionshareable"/>
    <w:basedOn w:val="Normal"/>
    <w:rsid w:val="00DA6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B1CC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70"/>
  </w:style>
  <w:style w:type="paragraph" w:styleId="Heading2">
    <w:name w:val="heading 2"/>
    <w:basedOn w:val="Normal"/>
    <w:link w:val="Heading2Char"/>
    <w:uiPriority w:val="9"/>
    <w:qFormat/>
    <w:rsid w:val="00DA69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B1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A5"/>
  </w:style>
  <w:style w:type="paragraph" w:styleId="Footer">
    <w:name w:val="footer"/>
    <w:basedOn w:val="Normal"/>
    <w:link w:val="FooterChar"/>
    <w:uiPriority w:val="99"/>
    <w:unhideWhenUsed/>
    <w:rsid w:val="00B6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A5"/>
  </w:style>
  <w:style w:type="paragraph" w:styleId="BalloonText">
    <w:name w:val="Balloon Text"/>
    <w:basedOn w:val="Normal"/>
    <w:link w:val="BalloonTextChar"/>
    <w:uiPriority w:val="99"/>
    <w:semiHidden/>
    <w:unhideWhenUsed/>
    <w:rsid w:val="00B6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A5"/>
    <w:rPr>
      <w:rFonts w:ascii="Tahoma" w:hAnsi="Tahoma" w:cs="Tahoma"/>
      <w:sz w:val="16"/>
      <w:szCs w:val="16"/>
    </w:rPr>
  </w:style>
  <w:style w:type="table" w:styleId="TableGrid">
    <w:name w:val="Table Grid"/>
    <w:basedOn w:val="TableNormal"/>
    <w:uiPriority w:val="59"/>
    <w:rsid w:val="00B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69BA"/>
    <w:rPr>
      <w:rFonts w:ascii="Times New Roman" w:eastAsia="Times New Roman" w:hAnsi="Times New Roman" w:cs="Times New Roman"/>
      <w:b/>
      <w:bCs/>
      <w:sz w:val="36"/>
      <w:szCs w:val="36"/>
      <w:lang w:eastAsia="en-GB"/>
    </w:rPr>
  </w:style>
  <w:style w:type="paragraph" w:customStyle="1" w:styleId="selectionshareable">
    <w:name w:val="selectionshareable"/>
    <w:basedOn w:val="Normal"/>
    <w:rsid w:val="00DA6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B1CC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5809">
      <w:bodyDiv w:val="1"/>
      <w:marLeft w:val="0"/>
      <w:marRight w:val="0"/>
      <w:marTop w:val="0"/>
      <w:marBottom w:val="0"/>
      <w:divBdr>
        <w:top w:val="none" w:sz="0" w:space="0" w:color="auto"/>
        <w:left w:val="none" w:sz="0" w:space="0" w:color="auto"/>
        <w:bottom w:val="none" w:sz="0" w:space="0" w:color="auto"/>
        <w:right w:val="none" w:sz="0" w:space="0" w:color="auto"/>
      </w:divBdr>
      <w:divsChild>
        <w:div w:id="948388343">
          <w:marLeft w:val="0"/>
          <w:marRight w:val="0"/>
          <w:marTop w:val="0"/>
          <w:marBottom w:val="960"/>
          <w:divBdr>
            <w:top w:val="none" w:sz="0" w:space="0" w:color="auto"/>
            <w:left w:val="none" w:sz="0" w:space="0" w:color="auto"/>
            <w:bottom w:val="none" w:sz="0" w:space="0" w:color="auto"/>
            <w:right w:val="none" w:sz="0" w:space="0" w:color="auto"/>
          </w:divBdr>
          <w:divsChild>
            <w:div w:id="818839291">
              <w:marLeft w:val="0"/>
              <w:marRight w:val="0"/>
              <w:marTop w:val="0"/>
              <w:marBottom w:val="0"/>
              <w:divBdr>
                <w:top w:val="none" w:sz="0" w:space="0" w:color="auto"/>
                <w:left w:val="none" w:sz="0" w:space="0" w:color="auto"/>
                <w:bottom w:val="none" w:sz="0" w:space="0" w:color="auto"/>
                <w:right w:val="none" w:sz="0" w:space="0" w:color="auto"/>
              </w:divBdr>
            </w:div>
            <w:div w:id="414593412">
              <w:marLeft w:val="0"/>
              <w:marRight w:val="0"/>
              <w:marTop w:val="0"/>
              <w:marBottom w:val="540"/>
              <w:divBdr>
                <w:top w:val="none" w:sz="0" w:space="0" w:color="auto"/>
                <w:left w:val="none" w:sz="0" w:space="0" w:color="auto"/>
                <w:bottom w:val="none" w:sz="0" w:space="0" w:color="auto"/>
                <w:right w:val="none" w:sz="0" w:space="0" w:color="auto"/>
              </w:divBdr>
              <w:divsChild>
                <w:div w:id="62417644">
                  <w:marLeft w:val="0"/>
                  <w:marRight w:val="0"/>
                  <w:marTop w:val="0"/>
                  <w:marBottom w:val="0"/>
                  <w:divBdr>
                    <w:top w:val="none" w:sz="0" w:space="0" w:color="auto"/>
                    <w:left w:val="none" w:sz="0" w:space="0" w:color="auto"/>
                    <w:bottom w:val="none" w:sz="0" w:space="0" w:color="auto"/>
                    <w:right w:val="none" w:sz="0" w:space="0" w:color="auto"/>
                  </w:divBdr>
                </w:div>
                <w:div w:id="60636900">
                  <w:marLeft w:val="0"/>
                  <w:marRight w:val="0"/>
                  <w:marTop w:val="0"/>
                  <w:marBottom w:val="0"/>
                  <w:divBdr>
                    <w:top w:val="none" w:sz="0" w:space="0" w:color="auto"/>
                    <w:left w:val="none" w:sz="0" w:space="0" w:color="auto"/>
                    <w:bottom w:val="none" w:sz="0" w:space="0" w:color="auto"/>
                    <w:right w:val="none" w:sz="0" w:space="0" w:color="auto"/>
                  </w:divBdr>
                </w:div>
                <w:div w:id="1097871571">
                  <w:marLeft w:val="0"/>
                  <w:marRight w:val="0"/>
                  <w:marTop w:val="0"/>
                  <w:marBottom w:val="0"/>
                  <w:divBdr>
                    <w:top w:val="none" w:sz="0" w:space="0" w:color="auto"/>
                    <w:left w:val="none" w:sz="0" w:space="0" w:color="auto"/>
                    <w:bottom w:val="none" w:sz="0" w:space="0" w:color="auto"/>
                    <w:right w:val="none" w:sz="0" w:space="0" w:color="auto"/>
                  </w:divBdr>
                </w:div>
                <w:div w:id="795878076">
                  <w:marLeft w:val="0"/>
                  <w:marRight w:val="0"/>
                  <w:marTop w:val="0"/>
                  <w:marBottom w:val="0"/>
                  <w:divBdr>
                    <w:top w:val="none" w:sz="0" w:space="0" w:color="auto"/>
                    <w:left w:val="none" w:sz="0" w:space="0" w:color="auto"/>
                    <w:bottom w:val="none" w:sz="0" w:space="0" w:color="auto"/>
                    <w:right w:val="none" w:sz="0" w:space="0" w:color="auto"/>
                  </w:divBdr>
                  <w:divsChild>
                    <w:div w:id="480778349">
                      <w:marLeft w:val="0"/>
                      <w:marRight w:val="0"/>
                      <w:marTop w:val="0"/>
                      <w:marBottom w:val="0"/>
                      <w:divBdr>
                        <w:top w:val="single" w:sz="48" w:space="0" w:color="auto"/>
                        <w:left w:val="single" w:sz="48" w:space="0" w:color="auto"/>
                        <w:bottom w:val="single" w:sz="48" w:space="0" w:color="auto"/>
                        <w:right w:val="single" w:sz="48" w:space="0" w:color="auto"/>
                      </w:divBdr>
                    </w:div>
                  </w:divsChild>
                </w:div>
                <w:div w:id="2092316475">
                  <w:marLeft w:val="0"/>
                  <w:marRight w:val="0"/>
                  <w:marTop w:val="0"/>
                  <w:marBottom w:val="0"/>
                  <w:divBdr>
                    <w:top w:val="none" w:sz="0" w:space="0" w:color="auto"/>
                    <w:left w:val="none" w:sz="0" w:space="0" w:color="auto"/>
                    <w:bottom w:val="none" w:sz="0" w:space="0" w:color="auto"/>
                    <w:right w:val="none" w:sz="0" w:space="0" w:color="auto"/>
                  </w:divBdr>
                  <w:divsChild>
                    <w:div w:id="545683110">
                      <w:marLeft w:val="0"/>
                      <w:marRight w:val="0"/>
                      <w:marTop w:val="0"/>
                      <w:marBottom w:val="0"/>
                      <w:divBdr>
                        <w:top w:val="single" w:sz="48" w:space="0" w:color="auto"/>
                        <w:left w:val="single" w:sz="48" w:space="0" w:color="auto"/>
                        <w:bottom w:val="single" w:sz="48" w:space="0" w:color="auto"/>
                        <w:right w:val="single" w:sz="48" w:space="0" w:color="auto"/>
                      </w:divBdr>
                    </w:div>
                  </w:divsChild>
                </w:div>
                <w:div w:id="253049954">
                  <w:marLeft w:val="0"/>
                  <w:marRight w:val="0"/>
                  <w:marTop w:val="0"/>
                  <w:marBottom w:val="0"/>
                  <w:divBdr>
                    <w:top w:val="none" w:sz="0" w:space="0" w:color="auto"/>
                    <w:left w:val="none" w:sz="0" w:space="0" w:color="auto"/>
                    <w:bottom w:val="none" w:sz="0" w:space="0" w:color="auto"/>
                    <w:right w:val="none" w:sz="0" w:space="0" w:color="auto"/>
                  </w:divBdr>
                  <w:divsChild>
                    <w:div w:id="1787042244">
                      <w:marLeft w:val="0"/>
                      <w:marRight w:val="0"/>
                      <w:marTop w:val="0"/>
                      <w:marBottom w:val="0"/>
                      <w:divBdr>
                        <w:top w:val="single" w:sz="48" w:space="0" w:color="auto"/>
                        <w:left w:val="single" w:sz="48" w:space="0" w:color="auto"/>
                        <w:bottom w:val="single" w:sz="48" w:space="0" w:color="auto"/>
                        <w:right w:val="single" w:sz="48" w:space="0" w:color="auto"/>
                      </w:divBdr>
                    </w:div>
                  </w:divsChild>
                </w:div>
                <w:div w:id="325401704">
                  <w:marLeft w:val="0"/>
                  <w:marRight w:val="0"/>
                  <w:marTop w:val="0"/>
                  <w:marBottom w:val="0"/>
                  <w:divBdr>
                    <w:top w:val="none" w:sz="0" w:space="0" w:color="auto"/>
                    <w:left w:val="none" w:sz="0" w:space="0" w:color="auto"/>
                    <w:bottom w:val="none" w:sz="0" w:space="0" w:color="auto"/>
                    <w:right w:val="none" w:sz="0" w:space="0" w:color="auto"/>
                  </w:divBdr>
                </w:div>
                <w:div w:id="17907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6013">
          <w:marLeft w:val="0"/>
          <w:marRight w:val="0"/>
          <w:marTop w:val="0"/>
          <w:marBottom w:val="960"/>
          <w:divBdr>
            <w:top w:val="none" w:sz="0" w:space="0" w:color="auto"/>
            <w:left w:val="none" w:sz="0" w:space="0" w:color="auto"/>
            <w:bottom w:val="none" w:sz="0" w:space="0" w:color="auto"/>
            <w:right w:val="none" w:sz="0" w:space="0" w:color="auto"/>
          </w:divBdr>
          <w:divsChild>
            <w:div w:id="99035115">
              <w:marLeft w:val="0"/>
              <w:marRight w:val="0"/>
              <w:marTop w:val="0"/>
              <w:marBottom w:val="0"/>
              <w:divBdr>
                <w:top w:val="none" w:sz="0" w:space="0" w:color="auto"/>
                <w:left w:val="none" w:sz="0" w:space="0" w:color="auto"/>
                <w:bottom w:val="none" w:sz="0" w:space="0" w:color="auto"/>
                <w:right w:val="none" w:sz="0" w:space="0" w:color="auto"/>
              </w:divBdr>
              <w:divsChild>
                <w:div w:id="744255623">
                  <w:marLeft w:val="0"/>
                  <w:marRight w:val="0"/>
                  <w:marTop w:val="0"/>
                  <w:marBottom w:val="0"/>
                  <w:divBdr>
                    <w:top w:val="none" w:sz="0" w:space="0" w:color="auto"/>
                    <w:left w:val="none" w:sz="0" w:space="0" w:color="auto"/>
                    <w:bottom w:val="none" w:sz="0" w:space="0" w:color="auto"/>
                    <w:right w:val="none" w:sz="0" w:space="0" w:color="auto"/>
                  </w:divBdr>
                </w:div>
              </w:divsChild>
            </w:div>
            <w:div w:id="925303625">
              <w:marLeft w:val="0"/>
              <w:marRight w:val="0"/>
              <w:marTop w:val="0"/>
              <w:marBottom w:val="0"/>
              <w:divBdr>
                <w:top w:val="none" w:sz="0" w:space="0" w:color="auto"/>
                <w:left w:val="none" w:sz="0" w:space="0" w:color="auto"/>
                <w:bottom w:val="none" w:sz="0" w:space="0" w:color="auto"/>
                <w:right w:val="none" w:sz="0" w:space="0" w:color="auto"/>
              </w:divBdr>
              <w:divsChild>
                <w:div w:id="175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585">
          <w:marLeft w:val="0"/>
          <w:marRight w:val="0"/>
          <w:marTop w:val="0"/>
          <w:marBottom w:val="960"/>
          <w:divBdr>
            <w:top w:val="none" w:sz="0" w:space="0" w:color="auto"/>
            <w:left w:val="none" w:sz="0" w:space="0" w:color="auto"/>
            <w:bottom w:val="none" w:sz="0" w:space="0" w:color="auto"/>
            <w:right w:val="none" w:sz="0" w:space="0" w:color="auto"/>
          </w:divBdr>
          <w:divsChild>
            <w:div w:id="1559629509">
              <w:marLeft w:val="0"/>
              <w:marRight w:val="0"/>
              <w:marTop w:val="0"/>
              <w:marBottom w:val="0"/>
              <w:divBdr>
                <w:top w:val="none" w:sz="0" w:space="0" w:color="auto"/>
                <w:left w:val="none" w:sz="0" w:space="0" w:color="auto"/>
                <w:bottom w:val="none" w:sz="0" w:space="0" w:color="auto"/>
                <w:right w:val="none" w:sz="0" w:space="0" w:color="auto"/>
              </w:divBdr>
              <w:divsChild>
                <w:div w:id="1456675192">
                  <w:marLeft w:val="0"/>
                  <w:marRight w:val="0"/>
                  <w:marTop w:val="0"/>
                  <w:marBottom w:val="0"/>
                  <w:divBdr>
                    <w:top w:val="none" w:sz="0" w:space="0" w:color="auto"/>
                    <w:left w:val="none" w:sz="0" w:space="0" w:color="auto"/>
                    <w:bottom w:val="none" w:sz="0" w:space="0" w:color="auto"/>
                    <w:right w:val="none" w:sz="0" w:space="0" w:color="auto"/>
                  </w:divBdr>
                </w:div>
              </w:divsChild>
            </w:div>
            <w:div w:id="2119566008">
              <w:marLeft w:val="0"/>
              <w:marRight w:val="0"/>
              <w:marTop w:val="0"/>
              <w:marBottom w:val="0"/>
              <w:divBdr>
                <w:top w:val="none" w:sz="0" w:space="0" w:color="auto"/>
                <w:left w:val="none" w:sz="0" w:space="0" w:color="auto"/>
                <w:bottom w:val="none" w:sz="0" w:space="0" w:color="auto"/>
                <w:right w:val="none" w:sz="0" w:space="0" w:color="auto"/>
              </w:divBdr>
              <w:divsChild>
                <w:div w:id="8033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999">
          <w:marLeft w:val="0"/>
          <w:marRight w:val="0"/>
          <w:marTop w:val="0"/>
          <w:marBottom w:val="0"/>
          <w:divBdr>
            <w:top w:val="none" w:sz="0" w:space="0" w:color="auto"/>
            <w:left w:val="none" w:sz="0" w:space="0" w:color="auto"/>
            <w:bottom w:val="none" w:sz="0" w:space="0" w:color="auto"/>
            <w:right w:val="none" w:sz="0" w:space="0" w:color="auto"/>
          </w:divBdr>
          <w:divsChild>
            <w:div w:id="1129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6265">
      <w:bodyDiv w:val="1"/>
      <w:marLeft w:val="0"/>
      <w:marRight w:val="0"/>
      <w:marTop w:val="0"/>
      <w:marBottom w:val="0"/>
      <w:divBdr>
        <w:top w:val="none" w:sz="0" w:space="0" w:color="auto"/>
        <w:left w:val="none" w:sz="0" w:space="0" w:color="auto"/>
        <w:bottom w:val="none" w:sz="0" w:space="0" w:color="auto"/>
        <w:right w:val="none" w:sz="0" w:space="0" w:color="auto"/>
      </w:divBdr>
    </w:div>
    <w:div w:id="1095980453">
      <w:bodyDiv w:val="1"/>
      <w:marLeft w:val="0"/>
      <w:marRight w:val="0"/>
      <w:marTop w:val="0"/>
      <w:marBottom w:val="0"/>
      <w:divBdr>
        <w:top w:val="none" w:sz="0" w:space="0" w:color="auto"/>
        <w:left w:val="none" w:sz="0" w:space="0" w:color="auto"/>
        <w:bottom w:val="none" w:sz="0" w:space="0" w:color="auto"/>
        <w:right w:val="none" w:sz="0" w:space="0" w:color="auto"/>
      </w:divBdr>
      <w:divsChild>
        <w:div w:id="2022967607">
          <w:marLeft w:val="0"/>
          <w:marRight w:val="0"/>
          <w:marTop w:val="0"/>
          <w:marBottom w:val="0"/>
          <w:divBdr>
            <w:top w:val="none" w:sz="0" w:space="0" w:color="auto"/>
            <w:left w:val="none" w:sz="0" w:space="0" w:color="auto"/>
            <w:bottom w:val="none" w:sz="0" w:space="0" w:color="auto"/>
            <w:right w:val="none" w:sz="0" w:space="0" w:color="auto"/>
          </w:divBdr>
        </w:div>
        <w:div w:id="1185704469">
          <w:marLeft w:val="0"/>
          <w:marRight w:val="0"/>
          <w:marTop w:val="0"/>
          <w:marBottom w:val="0"/>
          <w:divBdr>
            <w:top w:val="none" w:sz="0" w:space="0" w:color="auto"/>
            <w:left w:val="none" w:sz="0" w:space="0" w:color="auto"/>
            <w:bottom w:val="none" w:sz="0" w:space="0" w:color="auto"/>
            <w:right w:val="none" w:sz="0" w:space="0" w:color="auto"/>
          </w:divBdr>
          <w:divsChild>
            <w:div w:id="175845501">
              <w:blockQuote w:val="1"/>
              <w:marLeft w:val="0"/>
              <w:marRight w:val="0"/>
              <w:marTop w:val="240"/>
              <w:marBottom w:val="240"/>
              <w:divBdr>
                <w:top w:val="none" w:sz="0" w:space="0" w:color="auto"/>
                <w:left w:val="single" w:sz="36" w:space="6" w:color="91ACAD"/>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2017-10-20T12:23:00Z</cp:lastPrinted>
  <dcterms:created xsi:type="dcterms:W3CDTF">2018-11-12T18:41:00Z</dcterms:created>
  <dcterms:modified xsi:type="dcterms:W3CDTF">2018-11-12T20:20:00Z</dcterms:modified>
</cp:coreProperties>
</file>