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7AB" w:rsidRDefault="00552446" w:rsidP="00CE79B6">
      <w:pPr>
        <w:jc w:val="center"/>
        <w:rPr>
          <w:b/>
          <w:sz w:val="32"/>
          <w:szCs w:val="32"/>
          <w:u w:val="single"/>
        </w:rPr>
      </w:pPr>
      <w:r w:rsidRPr="00552446">
        <w:rPr>
          <w:b/>
          <w:noProof/>
          <w:sz w:val="32"/>
          <w:szCs w:val="32"/>
          <w:u w:val="single"/>
          <w:lang w:eastAsia="en-GB"/>
        </w:rPr>
        <w:drawing>
          <wp:anchor distT="0" distB="0" distL="114300" distR="114300" simplePos="0" relativeHeight="251658240" behindDoc="1" locked="0" layoutInCell="1" allowOverlap="1" wp14:anchorId="4E7BE61C" wp14:editId="0237A687">
            <wp:simplePos x="0" y="0"/>
            <wp:positionH relativeFrom="column">
              <wp:posOffset>-309880</wp:posOffset>
            </wp:positionH>
            <wp:positionV relativeFrom="paragraph">
              <wp:posOffset>0</wp:posOffset>
            </wp:positionV>
            <wp:extent cx="781050" cy="857250"/>
            <wp:effectExtent l="0" t="0" r="0" b="0"/>
            <wp:wrapTight wrapText="bothSides">
              <wp:wrapPolygon edited="0">
                <wp:start x="0" y="0"/>
                <wp:lineTo x="0" y="21120"/>
                <wp:lineTo x="21073" y="21120"/>
                <wp:lineTo x="21073" y="0"/>
                <wp:lineTo x="0" y="0"/>
              </wp:wrapPolygon>
            </wp:wrapTight>
            <wp:docPr id="1" name="Picture 1" descr="St pe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peter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2446">
        <w:rPr>
          <w:b/>
          <w:noProof/>
          <w:sz w:val="32"/>
          <w:szCs w:val="32"/>
          <w:u w:val="single"/>
          <w:lang w:eastAsia="en-GB"/>
        </w:rPr>
        <w:drawing>
          <wp:anchor distT="0" distB="0" distL="114300" distR="114300" simplePos="0" relativeHeight="251659264" behindDoc="1" locked="0" layoutInCell="1" allowOverlap="1" wp14:anchorId="408C218C" wp14:editId="5AEFCBC7">
            <wp:simplePos x="0" y="0"/>
            <wp:positionH relativeFrom="column">
              <wp:posOffset>6205220</wp:posOffset>
            </wp:positionH>
            <wp:positionV relativeFrom="paragraph">
              <wp:posOffset>0</wp:posOffset>
            </wp:positionV>
            <wp:extent cx="781050" cy="857250"/>
            <wp:effectExtent l="0" t="0" r="0" b="0"/>
            <wp:wrapTight wrapText="bothSides">
              <wp:wrapPolygon edited="0">
                <wp:start x="0" y="0"/>
                <wp:lineTo x="0" y="21120"/>
                <wp:lineTo x="21073" y="21120"/>
                <wp:lineTo x="21073" y="0"/>
                <wp:lineTo x="0" y="0"/>
              </wp:wrapPolygon>
            </wp:wrapTight>
            <wp:docPr id="2" name="Picture 2" descr="St pe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peter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E79B6" w:rsidRPr="00552446">
        <w:rPr>
          <w:b/>
          <w:sz w:val="32"/>
          <w:szCs w:val="32"/>
          <w:u w:val="single"/>
        </w:rPr>
        <w:t>Pupil Premium Strategy – St Peter’s CE Primary, Cowfold Financial Year 2017-18</w:t>
      </w:r>
    </w:p>
    <w:p w:rsidR="005D25C1" w:rsidRDefault="005D25C1" w:rsidP="00CE79B6">
      <w:pPr>
        <w:jc w:val="center"/>
        <w:rPr>
          <w:b/>
          <w:sz w:val="32"/>
          <w:szCs w:val="32"/>
          <w:u w:val="single"/>
        </w:rPr>
      </w:pPr>
    </w:p>
    <w:p w:rsidR="005D25C1" w:rsidRDefault="005D25C1" w:rsidP="005D25C1">
      <w:pPr>
        <w:rPr>
          <w:b/>
          <w:sz w:val="32"/>
          <w:szCs w:val="32"/>
          <w:u w:val="single"/>
        </w:rPr>
      </w:pPr>
      <w:r>
        <w:rPr>
          <w:b/>
          <w:sz w:val="32"/>
          <w:szCs w:val="32"/>
          <w:u w:val="single"/>
        </w:rPr>
        <w:t>2017 – 2018 ALLOCATION</w:t>
      </w:r>
    </w:p>
    <w:p w:rsidR="005D25C1" w:rsidRDefault="00A12914" w:rsidP="005D25C1">
      <w:pPr>
        <w:rPr>
          <w:sz w:val="32"/>
          <w:szCs w:val="32"/>
        </w:rPr>
      </w:pPr>
      <w:r>
        <w:rPr>
          <w:sz w:val="32"/>
          <w:szCs w:val="32"/>
        </w:rPr>
        <w:t>£17,160 – ALLOCATION for 13 pupils.</w:t>
      </w:r>
    </w:p>
    <w:p w:rsidR="005D25C1" w:rsidRPr="00F972D7" w:rsidRDefault="005D25C1" w:rsidP="005D25C1">
      <w:pPr>
        <w:rPr>
          <w:sz w:val="16"/>
          <w:szCs w:val="16"/>
        </w:rPr>
      </w:pPr>
      <w:bookmarkStart w:id="0" w:name="_GoBack"/>
      <w:bookmarkEnd w:id="0"/>
    </w:p>
    <w:p w:rsidR="005D25C1" w:rsidRDefault="005D25C1" w:rsidP="005D25C1">
      <w:pPr>
        <w:rPr>
          <w:b/>
          <w:sz w:val="32"/>
          <w:szCs w:val="32"/>
          <w:u w:val="single"/>
        </w:rPr>
      </w:pPr>
      <w:r>
        <w:rPr>
          <w:b/>
          <w:sz w:val="32"/>
          <w:szCs w:val="32"/>
          <w:u w:val="single"/>
        </w:rPr>
        <w:t>HOW IT WAS SPENT</w:t>
      </w:r>
    </w:p>
    <w:tbl>
      <w:tblPr>
        <w:tblStyle w:val="TableGrid"/>
        <w:tblW w:w="10627" w:type="dxa"/>
        <w:tblLook w:val="04A0" w:firstRow="1" w:lastRow="0" w:firstColumn="1" w:lastColumn="0" w:noHBand="0" w:noVBand="1"/>
      </w:tblPr>
      <w:tblGrid>
        <w:gridCol w:w="6374"/>
        <w:gridCol w:w="4253"/>
      </w:tblGrid>
      <w:tr w:rsidR="00AF7535" w:rsidTr="00AF7535">
        <w:tc>
          <w:tcPr>
            <w:tcW w:w="10627" w:type="dxa"/>
            <w:gridSpan w:val="2"/>
          </w:tcPr>
          <w:p w:rsidR="00AF7535" w:rsidRPr="004158FE" w:rsidRDefault="00AF7535" w:rsidP="0094519C">
            <w:pPr>
              <w:jc w:val="center"/>
              <w:rPr>
                <w:b/>
                <w:sz w:val="28"/>
                <w:szCs w:val="28"/>
              </w:rPr>
            </w:pPr>
            <w:r>
              <w:rPr>
                <w:b/>
                <w:sz w:val="28"/>
                <w:szCs w:val="28"/>
              </w:rPr>
              <w:t>Expenditure</w:t>
            </w:r>
          </w:p>
        </w:tc>
      </w:tr>
      <w:tr w:rsidR="00AF7535" w:rsidTr="00AF7535">
        <w:tc>
          <w:tcPr>
            <w:tcW w:w="6374" w:type="dxa"/>
          </w:tcPr>
          <w:p w:rsidR="00AF7535" w:rsidRDefault="00AF7535" w:rsidP="00AF7535">
            <w:pPr>
              <w:rPr>
                <w:sz w:val="28"/>
                <w:szCs w:val="28"/>
              </w:rPr>
            </w:pPr>
            <w:r>
              <w:rPr>
                <w:sz w:val="28"/>
                <w:szCs w:val="28"/>
              </w:rPr>
              <w:t xml:space="preserve">The bulk of our expenditure was on Teaching Assistant hours. These TAs first priority was to assist the inclusion, and support, of PP pupils in a ‘Quality First’ whole class learning experience. The emphasis has been upon class teachers delivering effective teaching and learning to all pupils including PP pupils. </w:t>
            </w:r>
          </w:p>
          <w:p w:rsidR="00AF7535" w:rsidRDefault="00AF7535" w:rsidP="00AF7535">
            <w:pPr>
              <w:rPr>
                <w:sz w:val="28"/>
                <w:szCs w:val="28"/>
              </w:rPr>
            </w:pPr>
          </w:p>
          <w:p w:rsidR="00AF7535" w:rsidRPr="00AF7535" w:rsidRDefault="00AF7535" w:rsidP="00AF7535">
            <w:pPr>
              <w:rPr>
                <w:sz w:val="28"/>
                <w:szCs w:val="28"/>
              </w:rPr>
            </w:pPr>
            <w:r>
              <w:rPr>
                <w:sz w:val="28"/>
                <w:szCs w:val="28"/>
              </w:rPr>
              <w:t xml:space="preserve">Where it has not compromised a PP child’s </w:t>
            </w:r>
            <w:r>
              <w:rPr>
                <w:sz w:val="28"/>
                <w:szCs w:val="28"/>
              </w:rPr>
              <w:t>‘Quality First’ whole class learning</w:t>
            </w:r>
            <w:r>
              <w:rPr>
                <w:sz w:val="28"/>
                <w:szCs w:val="28"/>
              </w:rPr>
              <w:t>, additional interventions have also been set up with these TA hours. Details of these interventions are recorded on our TA timetable. The impact of interventions is measured using our ‘Intervention Impact Tracking Sheets’ and provision is adapted if staff feel there should/ could be more impact.</w:t>
            </w:r>
          </w:p>
        </w:tc>
        <w:tc>
          <w:tcPr>
            <w:tcW w:w="4253" w:type="dxa"/>
          </w:tcPr>
          <w:p w:rsidR="00AF7535" w:rsidRPr="00F972D7" w:rsidRDefault="00AF7535" w:rsidP="0094519C">
            <w:pPr>
              <w:rPr>
                <w:b/>
                <w:sz w:val="28"/>
                <w:szCs w:val="28"/>
              </w:rPr>
            </w:pPr>
            <w:r w:rsidRPr="00F972D7">
              <w:rPr>
                <w:b/>
                <w:sz w:val="28"/>
                <w:szCs w:val="28"/>
              </w:rPr>
              <w:t>£</w:t>
            </w:r>
            <w:r w:rsidR="00F972D7" w:rsidRPr="00F972D7">
              <w:rPr>
                <w:b/>
                <w:sz w:val="28"/>
                <w:szCs w:val="28"/>
              </w:rPr>
              <w:t>16,920</w:t>
            </w:r>
            <w:r w:rsidRPr="00F972D7">
              <w:rPr>
                <w:b/>
                <w:sz w:val="28"/>
                <w:szCs w:val="28"/>
              </w:rPr>
              <w:t xml:space="preserve"> – on support staff</w:t>
            </w:r>
          </w:p>
          <w:p w:rsidR="00AF7535" w:rsidRPr="00F972D7" w:rsidRDefault="00AF7535" w:rsidP="0094519C">
            <w:pPr>
              <w:rPr>
                <w:b/>
                <w:sz w:val="28"/>
                <w:szCs w:val="28"/>
              </w:rPr>
            </w:pPr>
          </w:p>
          <w:p w:rsidR="00AF7535" w:rsidRPr="00F972D7" w:rsidRDefault="00AF7535" w:rsidP="0094519C">
            <w:pPr>
              <w:rPr>
                <w:b/>
                <w:sz w:val="28"/>
                <w:szCs w:val="28"/>
              </w:rPr>
            </w:pPr>
            <w:r w:rsidRPr="00F972D7">
              <w:rPr>
                <w:b/>
                <w:sz w:val="28"/>
                <w:szCs w:val="28"/>
              </w:rPr>
              <w:t>£</w:t>
            </w:r>
            <w:r w:rsidR="00F972D7" w:rsidRPr="00F972D7">
              <w:rPr>
                <w:b/>
                <w:sz w:val="28"/>
                <w:szCs w:val="28"/>
              </w:rPr>
              <w:t>240</w:t>
            </w:r>
            <w:r w:rsidRPr="00F972D7">
              <w:rPr>
                <w:b/>
                <w:sz w:val="28"/>
                <w:szCs w:val="28"/>
              </w:rPr>
              <w:t xml:space="preserve"> – </w:t>
            </w:r>
            <w:r w:rsidR="00F972D7" w:rsidRPr="00F972D7">
              <w:rPr>
                <w:b/>
                <w:sz w:val="28"/>
                <w:szCs w:val="28"/>
              </w:rPr>
              <w:t>help for</w:t>
            </w:r>
            <w:r w:rsidRPr="00F972D7">
              <w:rPr>
                <w:b/>
                <w:sz w:val="28"/>
                <w:szCs w:val="28"/>
              </w:rPr>
              <w:t xml:space="preserve"> PP pupil to attend</w:t>
            </w:r>
          </w:p>
          <w:p w:rsidR="00AF7535" w:rsidRPr="00F972D7" w:rsidRDefault="00AF7535" w:rsidP="0094519C">
            <w:pPr>
              <w:rPr>
                <w:b/>
                <w:sz w:val="28"/>
                <w:szCs w:val="28"/>
              </w:rPr>
            </w:pPr>
            <w:r w:rsidRPr="00F972D7">
              <w:rPr>
                <w:b/>
                <w:sz w:val="28"/>
                <w:szCs w:val="28"/>
              </w:rPr>
              <w:t xml:space="preserve">      </w:t>
            </w:r>
            <w:r w:rsidRPr="00F972D7">
              <w:rPr>
                <w:b/>
                <w:sz w:val="28"/>
                <w:szCs w:val="28"/>
              </w:rPr>
              <w:t xml:space="preserve">                            </w:t>
            </w:r>
            <w:r w:rsidRPr="00F972D7">
              <w:rPr>
                <w:b/>
                <w:sz w:val="28"/>
                <w:szCs w:val="28"/>
              </w:rPr>
              <w:t>Residential trip</w:t>
            </w:r>
          </w:p>
          <w:p w:rsidR="00AF7535" w:rsidRPr="00F972D7" w:rsidRDefault="00AF7535" w:rsidP="0094519C">
            <w:pPr>
              <w:rPr>
                <w:b/>
                <w:sz w:val="28"/>
                <w:szCs w:val="28"/>
              </w:rPr>
            </w:pPr>
          </w:p>
          <w:p w:rsidR="00AF7535" w:rsidRPr="00F972D7" w:rsidRDefault="00AF7535" w:rsidP="0094519C">
            <w:pPr>
              <w:rPr>
                <w:b/>
                <w:sz w:val="28"/>
                <w:szCs w:val="28"/>
                <w:u w:val="single"/>
              </w:rPr>
            </w:pPr>
          </w:p>
        </w:tc>
      </w:tr>
      <w:tr w:rsidR="00AF7535" w:rsidTr="00AF7535">
        <w:tc>
          <w:tcPr>
            <w:tcW w:w="6374" w:type="dxa"/>
          </w:tcPr>
          <w:p w:rsidR="00AF7535" w:rsidRPr="004158FE" w:rsidRDefault="00AF7535" w:rsidP="0094519C">
            <w:pPr>
              <w:jc w:val="center"/>
              <w:rPr>
                <w:b/>
                <w:sz w:val="28"/>
                <w:szCs w:val="28"/>
              </w:rPr>
            </w:pPr>
            <w:r>
              <w:rPr>
                <w:b/>
                <w:sz w:val="28"/>
                <w:szCs w:val="28"/>
              </w:rPr>
              <w:t>Total Expenditure</w:t>
            </w:r>
          </w:p>
        </w:tc>
        <w:tc>
          <w:tcPr>
            <w:tcW w:w="4253" w:type="dxa"/>
          </w:tcPr>
          <w:p w:rsidR="00AF7535" w:rsidRPr="00F972D7" w:rsidRDefault="00AF7535" w:rsidP="0094519C">
            <w:pPr>
              <w:rPr>
                <w:b/>
                <w:sz w:val="28"/>
                <w:szCs w:val="28"/>
              </w:rPr>
            </w:pPr>
            <w:r w:rsidRPr="00F972D7">
              <w:rPr>
                <w:b/>
                <w:sz w:val="28"/>
                <w:szCs w:val="28"/>
              </w:rPr>
              <w:t>£</w:t>
            </w:r>
            <w:r w:rsidR="00F972D7" w:rsidRPr="00F972D7">
              <w:rPr>
                <w:b/>
                <w:sz w:val="28"/>
                <w:szCs w:val="28"/>
              </w:rPr>
              <w:t>17,160</w:t>
            </w:r>
          </w:p>
        </w:tc>
      </w:tr>
    </w:tbl>
    <w:p w:rsidR="00A12914" w:rsidRPr="00F972D7" w:rsidRDefault="00A12914" w:rsidP="005D25C1">
      <w:pPr>
        <w:rPr>
          <w:sz w:val="16"/>
          <w:szCs w:val="16"/>
        </w:rPr>
      </w:pPr>
    </w:p>
    <w:p w:rsidR="005D25C1" w:rsidRDefault="005D25C1" w:rsidP="005D25C1">
      <w:pPr>
        <w:rPr>
          <w:b/>
          <w:sz w:val="32"/>
          <w:szCs w:val="32"/>
          <w:u w:val="single"/>
        </w:rPr>
      </w:pPr>
      <w:r>
        <w:rPr>
          <w:b/>
          <w:sz w:val="32"/>
          <w:szCs w:val="32"/>
          <w:u w:val="single"/>
        </w:rPr>
        <w:t>THE EFFECT ON ELIGIBLE PUPILS</w:t>
      </w:r>
    </w:p>
    <w:p w:rsidR="00B46624" w:rsidRPr="0002602D" w:rsidRDefault="00B46624" w:rsidP="0002602D">
      <w:pPr>
        <w:spacing w:after="0"/>
        <w:rPr>
          <w:sz w:val="28"/>
          <w:szCs w:val="28"/>
          <w:u w:val="single"/>
        </w:rPr>
      </w:pPr>
      <w:r w:rsidRPr="0002602D">
        <w:rPr>
          <w:sz w:val="28"/>
          <w:szCs w:val="28"/>
          <w:u w:val="single"/>
        </w:rPr>
        <w:t>At the December 2017</w:t>
      </w:r>
      <w:r w:rsidR="00F972D7">
        <w:rPr>
          <w:sz w:val="28"/>
          <w:szCs w:val="28"/>
          <w:u w:val="single"/>
        </w:rPr>
        <w:t>*</w:t>
      </w:r>
      <w:r w:rsidRPr="0002602D">
        <w:rPr>
          <w:sz w:val="28"/>
          <w:szCs w:val="28"/>
          <w:u w:val="single"/>
        </w:rPr>
        <w:t xml:space="preserve"> Assessment Point:</w:t>
      </w:r>
    </w:p>
    <w:p w:rsidR="00B46624" w:rsidRPr="0002602D" w:rsidRDefault="00BC3215" w:rsidP="0002602D">
      <w:pPr>
        <w:spacing w:after="0"/>
        <w:rPr>
          <w:sz w:val="28"/>
          <w:szCs w:val="28"/>
        </w:rPr>
      </w:pPr>
      <w:r w:rsidRPr="0002602D">
        <w:rPr>
          <w:sz w:val="28"/>
          <w:szCs w:val="28"/>
        </w:rPr>
        <w:t>91% of PP pupils had made good progress through the ‘Letters &amp; Sounds’ phonic spelling phases between June 2017 and December 2017.</w:t>
      </w:r>
    </w:p>
    <w:p w:rsidR="00BC3215" w:rsidRDefault="00BC3215" w:rsidP="0002602D">
      <w:pPr>
        <w:spacing w:after="0"/>
        <w:rPr>
          <w:sz w:val="28"/>
          <w:szCs w:val="28"/>
        </w:rPr>
      </w:pPr>
      <w:r w:rsidRPr="0002602D">
        <w:rPr>
          <w:sz w:val="28"/>
          <w:szCs w:val="28"/>
        </w:rPr>
        <w:t>36% made Accelerated progress of more than a phase over the same period.</w:t>
      </w:r>
    </w:p>
    <w:p w:rsidR="003E35B6" w:rsidRDefault="003E35B6" w:rsidP="0002602D">
      <w:pPr>
        <w:spacing w:after="0"/>
        <w:rPr>
          <w:sz w:val="28"/>
          <w:szCs w:val="28"/>
        </w:rPr>
      </w:pPr>
    </w:p>
    <w:p w:rsidR="003E35B6" w:rsidRPr="0002602D" w:rsidRDefault="003E35B6" w:rsidP="003E35B6">
      <w:pPr>
        <w:spacing w:after="0"/>
        <w:rPr>
          <w:sz w:val="28"/>
          <w:szCs w:val="28"/>
        </w:rPr>
      </w:pPr>
      <w:r>
        <w:rPr>
          <w:sz w:val="28"/>
          <w:szCs w:val="28"/>
        </w:rPr>
        <w:t>82</w:t>
      </w:r>
      <w:r w:rsidRPr="0002602D">
        <w:rPr>
          <w:sz w:val="28"/>
          <w:szCs w:val="28"/>
        </w:rPr>
        <w:t>% of PP</w:t>
      </w:r>
      <w:r>
        <w:rPr>
          <w:sz w:val="28"/>
          <w:szCs w:val="28"/>
        </w:rPr>
        <w:t xml:space="preserve"> pupils had made good progress in their PIRA Reading Test Standardised Scores</w:t>
      </w:r>
      <w:r w:rsidRPr="0002602D">
        <w:rPr>
          <w:sz w:val="28"/>
          <w:szCs w:val="28"/>
        </w:rPr>
        <w:t xml:space="preserve"> June 2017 and December 2017.</w:t>
      </w:r>
    </w:p>
    <w:p w:rsidR="003E35B6" w:rsidRDefault="003E35B6" w:rsidP="003E35B6">
      <w:pPr>
        <w:spacing w:after="0"/>
        <w:rPr>
          <w:sz w:val="28"/>
          <w:szCs w:val="28"/>
        </w:rPr>
      </w:pPr>
      <w:r>
        <w:rPr>
          <w:sz w:val="28"/>
          <w:szCs w:val="28"/>
        </w:rPr>
        <w:t>45</w:t>
      </w:r>
      <w:r w:rsidRPr="0002602D">
        <w:rPr>
          <w:sz w:val="28"/>
          <w:szCs w:val="28"/>
        </w:rPr>
        <w:t>% mad</w:t>
      </w:r>
      <w:r>
        <w:rPr>
          <w:sz w:val="28"/>
          <w:szCs w:val="28"/>
        </w:rPr>
        <w:t xml:space="preserve">e Accelerated progress of </w:t>
      </w:r>
      <w:r w:rsidRPr="0002602D">
        <w:rPr>
          <w:sz w:val="28"/>
          <w:szCs w:val="28"/>
        </w:rPr>
        <w:t xml:space="preserve">an </w:t>
      </w:r>
      <w:r>
        <w:rPr>
          <w:sz w:val="28"/>
          <w:szCs w:val="28"/>
        </w:rPr>
        <w:t>increase of 5+ in their Standardised Score for</w:t>
      </w:r>
      <w:r w:rsidRPr="0002602D">
        <w:rPr>
          <w:sz w:val="28"/>
          <w:szCs w:val="28"/>
        </w:rPr>
        <w:t xml:space="preserve"> the same period.</w:t>
      </w:r>
    </w:p>
    <w:p w:rsidR="003E35B6" w:rsidRPr="0002602D" w:rsidRDefault="00F972D7" w:rsidP="0002602D">
      <w:pPr>
        <w:spacing w:after="0"/>
        <w:rPr>
          <w:sz w:val="28"/>
          <w:szCs w:val="28"/>
        </w:rPr>
      </w:pPr>
      <w:r>
        <w:rPr>
          <w:sz w:val="28"/>
          <w:szCs w:val="28"/>
        </w:rPr>
        <w:t>*</w:t>
      </w:r>
      <w:r w:rsidRPr="00F972D7">
        <w:rPr>
          <w:b/>
          <w:sz w:val="24"/>
          <w:szCs w:val="24"/>
        </w:rPr>
        <w:t>to be updated with an annual overview after end of March Assessment Point.</w:t>
      </w:r>
    </w:p>
    <w:sectPr w:rsidR="003E35B6" w:rsidRPr="0002602D" w:rsidSect="001542C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7AB" w:rsidRDefault="00FD27AB" w:rsidP="00B610A5">
      <w:pPr>
        <w:spacing w:after="0" w:line="240" w:lineRule="auto"/>
      </w:pPr>
      <w:r>
        <w:separator/>
      </w:r>
    </w:p>
  </w:endnote>
  <w:endnote w:type="continuationSeparator" w:id="0">
    <w:p w:rsidR="00FD27AB" w:rsidRDefault="00FD27AB" w:rsidP="00B61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7AB" w:rsidRDefault="00FD27AB" w:rsidP="00B610A5">
      <w:pPr>
        <w:spacing w:after="0" w:line="240" w:lineRule="auto"/>
      </w:pPr>
      <w:r>
        <w:separator/>
      </w:r>
    </w:p>
  </w:footnote>
  <w:footnote w:type="continuationSeparator" w:id="0">
    <w:p w:rsidR="00FD27AB" w:rsidRDefault="00FD27AB" w:rsidP="00B610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0A5"/>
    <w:rsid w:val="00010C1F"/>
    <w:rsid w:val="0002602D"/>
    <w:rsid w:val="000D0E39"/>
    <w:rsid w:val="001542CF"/>
    <w:rsid w:val="001927FC"/>
    <w:rsid w:val="003E35B6"/>
    <w:rsid w:val="0047027F"/>
    <w:rsid w:val="004F647E"/>
    <w:rsid w:val="00552446"/>
    <w:rsid w:val="005D25C1"/>
    <w:rsid w:val="00601F9E"/>
    <w:rsid w:val="00626457"/>
    <w:rsid w:val="00637989"/>
    <w:rsid w:val="00926570"/>
    <w:rsid w:val="009B1CCA"/>
    <w:rsid w:val="00A12914"/>
    <w:rsid w:val="00A36346"/>
    <w:rsid w:val="00AA1A6F"/>
    <w:rsid w:val="00AF7535"/>
    <w:rsid w:val="00B46624"/>
    <w:rsid w:val="00B610A5"/>
    <w:rsid w:val="00BB1E1E"/>
    <w:rsid w:val="00BC3215"/>
    <w:rsid w:val="00CE79B6"/>
    <w:rsid w:val="00DA69BA"/>
    <w:rsid w:val="00DA738A"/>
    <w:rsid w:val="00F972D7"/>
    <w:rsid w:val="00FD2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7C1B66"/>
  <w15:docId w15:val="{16CE0648-EEE8-4925-A4FE-E1134092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570"/>
  </w:style>
  <w:style w:type="paragraph" w:styleId="Heading2">
    <w:name w:val="heading 2"/>
    <w:basedOn w:val="Normal"/>
    <w:link w:val="Heading2Char"/>
    <w:uiPriority w:val="9"/>
    <w:qFormat/>
    <w:rsid w:val="00DA69B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9B1C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0A5"/>
  </w:style>
  <w:style w:type="paragraph" w:styleId="Footer">
    <w:name w:val="footer"/>
    <w:basedOn w:val="Normal"/>
    <w:link w:val="FooterChar"/>
    <w:uiPriority w:val="99"/>
    <w:unhideWhenUsed/>
    <w:rsid w:val="00B61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0A5"/>
  </w:style>
  <w:style w:type="paragraph" w:styleId="BalloonText">
    <w:name w:val="Balloon Text"/>
    <w:basedOn w:val="Normal"/>
    <w:link w:val="BalloonTextChar"/>
    <w:uiPriority w:val="99"/>
    <w:semiHidden/>
    <w:unhideWhenUsed/>
    <w:rsid w:val="00B61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0A5"/>
    <w:rPr>
      <w:rFonts w:ascii="Tahoma" w:hAnsi="Tahoma" w:cs="Tahoma"/>
      <w:sz w:val="16"/>
      <w:szCs w:val="16"/>
    </w:rPr>
  </w:style>
  <w:style w:type="table" w:styleId="TableGrid">
    <w:name w:val="Table Grid"/>
    <w:basedOn w:val="TableNormal"/>
    <w:uiPriority w:val="59"/>
    <w:rsid w:val="00B61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A69BA"/>
    <w:rPr>
      <w:rFonts w:ascii="Times New Roman" w:eastAsia="Times New Roman" w:hAnsi="Times New Roman" w:cs="Times New Roman"/>
      <w:b/>
      <w:bCs/>
      <w:sz w:val="36"/>
      <w:szCs w:val="36"/>
      <w:lang w:eastAsia="en-GB"/>
    </w:rPr>
  </w:style>
  <w:style w:type="paragraph" w:customStyle="1" w:styleId="selectionshareable">
    <w:name w:val="selectionshareable"/>
    <w:basedOn w:val="Normal"/>
    <w:rsid w:val="00DA69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9B1CC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75809">
      <w:bodyDiv w:val="1"/>
      <w:marLeft w:val="0"/>
      <w:marRight w:val="0"/>
      <w:marTop w:val="0"/>
      <w:marBottom w:val="0"/>
      <w:divBdr>
        <w:top w:val="none" w:sz="0" w:space="0" w:color="auto"/>
        <w:left w:val="none" w:sz="0" w:space="0" w:color="auto"/>
        <w:bottom w:val="none" w:sz="0" w:space="0" w:color="auto"/>
        <w:right w:val="none" w:sz="0" w:space="0" w:color="auto"/>
      </w:divBdr>
      <w:divsChild>
        <w:div w:id="948388343">
          <w:marLeft w:val="0"/>
          <w:marRight w:val="0"/>
          <w:marTop w:val="0"/>
          <w:marBottom w:val="960"/>
          <w:divBdr>
            <w:top w:val="none" w:sz="0" w:space="0" w:color="auto"/>
            <w:left w:val="none" w:sz="0" w:space="0" w:color="auto"/>
            <w:bottom w:val="none" w:sz="0" w:space="0" w:color="auto"/>
            <w:right w:val="none" w:sz="0" w:space="0" w:color="auto"/>
          </w:divBdr>
          <w:divsChild>
            <w:div w:id="818839291">
              <w:marLeft w:val="0"/>
              <w:marRight w:val="0"/>
              <w:marTop w:val="0"/>
              <w:marBottom w:val="0"/>
              <w:divBdr>
                <w:top w:val="none" w:sz="0" w:space="0" w:color="auto"/>
                <w:left w:val="none" w:sz="0" w:space="0" w:color="auto"/>
                <w:bottom w:val="none" w:sz="0" w:space="0" w:color="auto"/>
                <w:right w:val="none" w:sz="0" w:space="0" w:color="auto"/>
              </w:divBdr>
            </w:div>
            <w:div w:id="414593412">
              <w:marLeft w:val="0"/>
              <w:marRight w:val="0"/>
              <w:marTop w:val="0"/>
              <w:marBottom w:val="540"/>
              <w:divBdr>
                <w:top w:val="none" w:sz="0" w:space="0" w:color="auto"/>
                <w:left w:val="none" w:sz="0" w:space="0" w:color="auto"/>
                <w:bottom w:val="none" w:sz="0" w:space="0" w:color="auto"/>
                <w:right w:val="none" w:sz="0" w:space="0" w:color="auto"/>
              </w:divBdr>
              <w:divsChild>
                <w:div w:id="62417644">
                  <w:marLeft w:val="0"/>
                  <w:marRight w:val="0"/>
                  <w:marTop w:val="0"/>
                  <w:marBottom w:val="0"/>
                  <w:divBdr>
                    <w:top w:val="none" w:sz="0" w:space="0" w:color="auto"/>
                    <w:left w:val="none" w:sz="0" w:space="0" w:color="auto"/>
                    <w:bottom w:val="none" w:sz="0" w:space="0" w:color="auto"/>
                    <w:right w:val="none" w:sz="0" w:space="0" w:color="auto"/>
                  </w:divBdr>
                </w:div>
                <w:div w:id="60636900">
                  <w:marLeft w:val="0"/>
                  <w:marRight w:val="0"/>
                  <w:marTop w:val="0"/>
                  <w:marBottom w:val="0"/>
                  <w:divBdr>
                    <w:top w:val="none" w:sz="0" w:space="0" w:color="auto"/>
                    <w:left w:val="none" w:sz="0" w:space="0" w:color="auto"/>
                    <w:bottom w:val="none" w:sz="0" w:space="0" w:color="auto"/>
                    <w:right w:val="none" w:sz="0" w:space="0" w:color="auto"/>
                  </w:divBdr>
                </w:div>
                <w:div w:id="1097871571">
                  <w:marLeft w:val="0"/>
                  <w:marRight w:val="0"/>
                  <w:marTop w:val="0"/>
                  <w:marBottom w:val="0"/>
                  <w:divBdr>
                    <w:top w:val="none" w:sz="0" w:space="0" w:color="auto"/>
                    <w:left w:val="none" w:sz="0" w:space="0" w:color="auto"/>
                    <w:bottom w:val="none" w:sz="0" w:space="0" w:color="auto"/>
                    <w:right w:val="none" w:sz="0" w:space="0" w:color="auto"/>
                  </w:divBdr>
                </w:div>
                <w:div w:id="795878076">
                  <w:marLeft w:val="0"/>
                  <w:marRight w:val="0"/>
                  <w:marTop w:val="0"/>
                  <w:marBottom w:val="0"/>
                  <w:divBdr>
                    <w:top w:val="none" w:sz="0" w:space="0" w:color="auto"/>
                    <w:left w:val="none" w:sz="0" w:space="0" w:color="auto"/>
                    <w:bottom w:val="none" w:sz="0" w:space="0" w:color="auto"/>
                    <w:right w:val="none" w:sz="0" w:space="0" w:color="auto"/>
                  </w:divBdr>
                  <w:divsChild>
                    <w:div w:id="480778349">
                      <w:marLeft w:val="0"/>
                      <w:marRight w:val="0"/>
                      <w:marTop w:val="0"/>
                      <w:marBottom w:val="0"/>
                      <w:divBdr>
                        <w:top w:val="single" w:sz="48" w:space="0" w:color="auto"/>
                        <w:left w:val="single" w:sz="48" w:space="0" w:color="auto"/>
                        <w:bottom w:val="single" w:sz="48" w:space="0" w:color="auto"/>
                        <w:right w:val="single" w:sz="48" w:space="0" w:color="auto"/>
                      </w:divBdr>
                    </w:div>
                  </w:divsChild>
                </w:div>
                <w:div w:id="2092316475">
                  <w:marLeft w:val="0"/>
                  <w:marRight w:val="0"/>
                  <w:marTop w:val="0"/>
                  <w:marBottom w:val="0"/>
                  <w:divBdr>
                    <w:top w:val="none" w:sz="0" w:space="0" w:color="auto"/>
                    <w:left w:val="none" w:sz="0" w:space="0" w:color="auto"/>
                    <w:bottom w:val="none" w:sz="0" w:space="0" w:color="auto"/>
                    <w:right w:val="none" w:sz="0" w:space="0" w:color="auto"/>
                  </w:divBdr>
                  <w:divsChild>
                    <w:div w:id="545683110">
                      <w:marLeft w:val="0"/>
                      <w:marRight w:val="0"/>
                      <w:marTop w:val="0"/>
                      <w:marBottom w:val="0"/>
                      <w:divBdr>
                        <w:top w:val="single" w:sz="48" w:space="0" w:color="auto"/>
                        <w:left w:val="single" w:sz="48" w:space="0" w:color="auto"/>
                        <w:bottom w:val="single" w:sz="48" w:space="0" w:color="auto"/>
                        <w:right w:val="single" w:sz="48" w:space="0" w:color="auto"/>
                      </w:divBdr>
                    </w:div>
                  </w:divsChild>
                </w:div>
                <w:div w:id="253049954">
                  <w:marLeft w:val="0"/>
                  <w:marRight w:val="0"/>
                  <w:marTop w:val="0"/>
                  <w:marBottom w:val="0"/>
                  <w:divBdr>
                    <w:top w:val="none" w:sz="0" w:space="0" w:color="auto"/>
                    <w:left w:val="none" w:sz="0" w:space="0" w:color="auto"/>
                    <w:bottom w:val="none" w:sz="0" w:space="0" w:color="auto"/>
                    <w:right w:val="none" w:sz="0" w:space="0" w:color="auto"/>
                  </w:divBdr>
                  <w:divsChild>
                    <w:div w:id="1787042244">
                      <w:marLeft w:val="0"/>
                      <w:marRight w:val="0"/>
                      <w:marTop w:val="0"/>
                      <w:marBottom w:val="0"/>
                      <w:divBdr>
                        <w:top w:val="single" w:sz="48" w:space="0" w:color="auto"/>
                        <w:left w:val="single" w:sz="48" w:space="0" w:color="auto"/>
                        <w:bottom w:val="single" w:sz="48" w:space="0" w:color="auto"/>
                        <w:right w:val="single" w:sz="48" w:space="0" w:color="auto"/>
                      </w:divBdr>
                    </w:div>
                  </w:divsChild>
                </w:div>
                <w:div w:id="325401704">
                  <w:marLeft w:val="0"/>
                  <w:marRight w:val="0"/>
                  <w:marTop w:val="0"/>
                  <w:marBottom w:val="0"/>
                  <w:divBdr>
                    <w:top w:val="none" w:sz="0" w:space="0" w:color="auto"/>
                    <w:left w:val="none" w:sz="0" w:space="0" w:color="auto"/>
                    <w:bottom w:val="none" w:sz="0" w:space="0" w:color="auto"/>
                    <w:right w:val="none" w:sz="0" w:space="0" w:color="auto"/>
                  </w:divBdr>
                </w:div>
                <w:div w:id="179070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6013">
          <w:marLeft w:val="0"/>
          <w:marRight w:val="0"/>
          <w:marTop w:val="0"/>
          <w:marBottom w:val="960"/>
          <w:divBdr>
            <w:top w:val="none" w:sz="0" w:space="0" w:color="auto"/>
            <w:left w:val="none" w:sz="0" w:space="0" w:color="auto"/>
            <w:bottom w:val="none" w:sz="0" w:space="0" w:color="auto"/>
            <w:right w:val="none" w:sz="0" w:space="0" w:color="auto"/>
          </w:divBdr>
          <w:divsChild>
            <w:div w:id="99035115">
              <w:marLeft w:val="0"/>
              <w:marRight w:val="0"/>
              <w:marTop w:val="0"/>
              <w:marBottom w:val="0"/>
              <w:divBdr>
                <w:top w:val="none" w:sz="0" w:space="0" w:color="auto"/>
                <w:left w:val="none" w:sz="0" w:space="0" w:color="auto"/>
                <w:bottom w:val="none" w:sz="0" w:space="0" w:color="auto"/>
                <w:right w:val="none" w:sz="0" w:space="0" w:color="auto"/>
              </w:divBdr>
              <w:divsChild>
                <w:div w:id="744255623">
                  <w:marLeft w:val="0"/>
                  <w:marRight w:val="0"/>
                  <w:marTop w:val="0"/>
                  <w:marBottom w:val="0"/>
                  <w:divBdr>
                    <w:top w:val="none" w:sz="0" w:space="0" w:color="auto"/>
                    <w:left w:val="none" w:sz="0" w:space="0" w:color="auto"/>
                    <w:bottom w:val="none" w:sz="0" w:space="0" w:color="auto"/>
                    <w:right w:val="none" w:sz="0" w:space="0" w:color="auto"/>
                  </w:divBdr>
                </w:div>
              </w:divsChild>
            </w:div>
            <w:div w:id="925303625">
              <w:marLeft w:val="0"/>
              <w:marRight w:val="0"/>
              <w:marTop w:val="0"/>
              <w:marBottom w:val="0"/>
              <w:divBdr>
                <w:top w:val="none" w:sz="0" w:space="0" w:color="auto"/>
                <w:left w:val="none" w:sz="0" w:space="0" w:color="auto"/>
                <w:bottom w:val="none" w:sz="0" w:space="0" w:color="auto"/>
                <w:right w:val="none" w:sz="0" w:space="0" w:color="auto"/>
              </w:divBdr>
              <w:divsChild>
                <w:div w:id="175978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04585">
          <w:marLeft w:val="0"/>
          <w:marRight w:val="0"/>
          <w:marTop w:val="0"/>
          <w:marBottom w:val="960"/>
          <w:divBdr>
            <w:top w:val="none" w:sz="0" w:space="0" w:color="auto"/>
            <w:left w:val="none" w:sz="0" w:space="0" w:color="auto"/>
            <w:bottom w:val="none" w:sz="0" w:space="0" w:color="auto"/>
            <w:right w:val="none" w:sz="0" w:space="0" w:color="auto"/>
          </w:divBdr>
          <w:divsChild>
            <w:div w:id="1559629509">
              <w:marLeft w:val="0"/>
              <w:marRight w:val="0"/>
              <w:marTop w:val="0"/>
              <w:marBottom w:val="0"/>
              <w:divBdr>
                <w:top w:val="none" w:sz="0" w:space="0" w:color="auto"/>
                <w:left w:val="none" w:sz="0" w:space="0" w:color="auto"/>
                <w:bottom w:val="none" w:sz="0" w:space="0" w:color="auto"/>
                <w:right w:val="none" w:sz="0" w:space="0" w:color="auto"/>
              </w:divBdr>
              <w:divsChild>
                <w:div w:id="1456675192">
                  <w:marLeft w:val="0"/>
                  <w:marRight w:val="0"/>
                  <w:marTop w:val="0"/>
                  <w:marBottom w:val="0"/>
                  <w:divBdr>
                    <w:top w:val="none" w:sz="0" w:space="0" w:color="auto"/>
                    <w:left w:val="none" w:sz="0" w:space="0" w:color="auto"/>
                    <w:bottom w:val="none" w:sz="0" w:space="0" w:color="auto"/>
                    <w:right w:val="none" w:sz="0" w:space="0" w:color="auto"/>
                  </w:divBdr>
                </w:div>
              </w:divsChild>
            </w:div>
            <w:div w:id="2119566008">
              <w:marLeft w:val="0"/>
              <w:marRight w:val="0"/>
              <w:marTop w:val="0"/>
              <w:marBottom w:val="0"/>
              <w:divBdr>
                <w:top w:val="none" w:sz="0" w:space="0" w:color="auto"/>
                <w:left w:val="none" w:sz="0" w:space="0" w:color="auto"/>
                <w:bottom w:val="none" w:sz="0" w:space="0" w:color="auto"/>
                <w:right w:val="none" w:sz="0" w:space="0" w:color="auto"/>
              </w:divBdr>
              <w:divsChild>
                <w:div w:id="8033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29999">
          <w:marLeft w:val="0"/>
          <w:marRight w:val="0"/>
          <w:marTop w:val="0"/>
          <w:marBottom w:val="0"/>
          <w:divBdr>
            <w:top w:val="none" w:sz="0" w:space="0" w:color="auto"/>
            <w:left w:val="none" w:sz="0" w:space="0" w:color="auto"/>
            <w:bottom w:val="none" w:sz="0" w:space="0" w:color="auto"/>
            <w:right w:val="none" w:sz="0" w:space="0" w:color="auto"/>
          </w:divBdr>
          <w:divsChild>
            <w:div w:id="112900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26265">
      <w:bodyDiv w:val="1"/>
      <w:marLeft w:val="0"/>
      <w:marRight w:val="0"/>
      <w:marTop w:val="0"/>
      <w:marBottom w:val="0"/>
      <w:divBdr>
        <w:top w:val="none" w:sz="0" w:space="0" w:color="auto"/>
        <w:left w:val="none" w:sz="0" w:space="0" w:color="auto"/>
        <w:bottom w:val="none" w:sz="0" w:space="0" w:color="auto"/>
        <w:right w:val="none" w:sz="0" w:space="0" w:color="auto"/>
      </w:divBdr>
    </w:div>
    <w:div w:id="1095980453">
      <w:bodyDiv w:val="1"/>
      <w:marLeft w:val="0"/>
      <w:marRight w:val="0"/>
      <w:marTop w:val="0"/>
      <w:marBottom w:val="0"/>
      <w:divBdr>
        <w:top w:val="none" w:sz="0" w:space="0" w:color="auto"/>
        <w:left w:val="none" w:sz="0" w:space="0" w:color="auto"/>
        <w:bottom w:val="none" w:sz="0" w:space="0" w:color="auto"/>
        <w:right w:val="none" w:sz="0" w:space="0" w:color="auto"/>
      </w:divBdr>
      <w:divsChild>
        <w:div w:id="2022967607">
          <w:marLeft w:val="0"/>
          <w:marRight w:val="0"/>
          <w:marTop w:val="0"/>
          <w:marBottom w:val="0"/>
          <w:divBdr>
            <w:top w:val="none" w:sz="0" w:space="0" w:color="auto"/>
            <w:left w:val="none" w:sz="0" w:space="0" w:color="auto"/>
            <w:bottom w:val="none" w:sz="0" w:space="0" w:color="auto"/>
            <w:right w:val="none" w:sz="0" w:space="0" w:color="auto"/>
          </w:divBdr>
        </w:div>
        <w:div w:id="1185704469">
          <w:marLeft w:val="0"/>
          <w:marRight w:val="0"/>
          <w:marTop w:val="0"/>
          <w:marBottom w:val="0"/>
          <w:divBdr>
            <w:top w:val="none" w:sz="0" w:space="0" w:color="auto"/>
            <w:left w:val="none" w:sz="0" w:space="0" w:color="auto"/>
            <w:bottom w:val="none" w:sz="0" w:space="0" w:color="auto"/>
            <w:right w:val="none" w:sz="0" w:space="0" w:color="auto"/>
          </w:divBdr>
          <w:divsChild>
            <w:div w:id="175845501">
              <w:blockQuote w:val="1"/>
              <w:marLeft w:val="0"/>
              <w:marRight w:val="0"/>
              <w:marTop w:val="240"/>
              <w:marBottom w:val="240"/>
              <w:divBdr>
                <w:top w:val="none" w:sz="0" w:space="0" w:color="auto"/>
                <w:left w:val="single" w:sz="36" w:space="6" w:color="91ACAD"/>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Head</cp:lastModifiedBy>
  <cp:revision>11</cp:revision>
  <cp:lastPrinted>2017-10-20T12:23:00Z</cp:lastPrinted>
  <dcterms:created xsi:type="dcterms:W3CDTF">2018-02-09T08:26:00Z</dcterms:created>
  <dcterms:modified xsi:type="dcterms:W3CDTF">2018-02-09T11:30:00Z</dcterms:modified>
</cp:coreProperties>
</file>