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0A" w:rsidRPr="0038732A" w:rsidRDefault="001B220A" w:rsidP="001B220A">
      <w:pPr>
        <w:pStyle w:val="Heading3"/>
      </w:pPr>
      <w:bookmarkStart w:id="0" w:name="_Toc346794872"/>
      <w:bookmarkStart w:id="1" w:name="_Toc359331343"/>
      <w:bookmarkStart w:id="2" w:name="_Toc360533887"/>
      <w:r>
        <w:t xml:space="preserve">HISTORY - </w:t>
      </w:r>
      <w:r w:rsidRPr="0038732A">
        <w:t xml:space="preserve">Key </w:t>
      </w:r>
      <w:r>
        <w:t>s</w:t>
      </w:r>
      <w:r w:rsidRPr="0038732A">
        <w:t>tage 2</w:t>
      </w:r>
      <w:bookmarkEnd w:id="0"/>
      <w:bookmarkEnd w:id="1"/>
      <w:bookmarkEnd w:id="2"/>
    </w:p>
    <w:p w:rsidR="001B220A" w:rsidRPr="001B220A" w:rsidRDefault="001B220A" w:rsidP="001B220A">
      <w:pPr>
        <w:rPr>
          <w:sz w:val="22"/>
          <w:szCs w:val="22"/>
        </w:rPr>
      </w:pPr>
      <w:r w:rsidRPr="001B220A">
        <w:rPr>
          <w:sz w:val="22"/>
          <w:szCs w:val="22"/>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1B220A" w:rsidRPr="001B220A" w:rsidRDefault="001B220A" w:rsidP="001B220A">
      <w:pPr>
        <w:rPr>
          <w:sz w:val="22"/>
          <w:szCs w:val="22"/>
        </w:rPr>
      </w:pPr>
      <w:r w:rsidRPr="001B220A">
        <w:rPr>
          <w:sz w:val="22"/>
          <w:szCs w:val="22"/>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001B220A" w:rsidRPr="001B220A" w:rsidRDefault="001B220A" w:rsidP="001B220A">
      <w:pPr>
        <w:spacing w:after="120"/>
        <w:rPr>
          <w:sz w:val="22"/>
          <w:szCs w:val="22"/>
        </w:rPr>
      </w:pPr>
      <w:r w:rsidRPr="001B220A">
        <w:rPr>
          <w:sz w:val="22"/>
          <w:szCs w:val="22"/>
        </w:rPr>
        <w:t>Pupils should be taught about:</w:t>
      </w:r>
    </w:p>
    <w:p w:rsidR="001B220A" w:rsidRPr="001B220A" w:rsidRDefault="001B220A" w:rsidP="001B220A">
      <w:pPr>
        <w:pStyle w:val="bulletundertext"/>
        <w:numPr>
          <w:ilvl w:val="0"/>
          <w:numId w:val="0"/>
        </w:numPr>
        <w:spacing w:after="120"/>
        <w:ind w:left="357" w:hanging="357"/>
        <w:rPr>
          <w:sz w:val="22"/>
          <w:szCs w:val="22"/>
        </w:rPr>
      </w:pPr>
      <w:r>
        <w:rPr>
          <w:b/>
          <w:color w:val="FF0000"/>
        </w:rPr>
        <w:t xml:space="preserve">H1 - </w:t>
      </w:r>
      <w:r w:rsidRPr="001B220A">
        <w:rPr>
          <w:sz w:val="22"/>
          <w:szCs w:val="22"/>
          <w:highlight w:val="yellow"/>
        </w:rPr>
        <w:t>changes in Britain from the Stone Age to the Iron Age</w:t>
      </w:r>
    </w:p>
    <w:tbl>
      <w:tblPr>
        <w:tblW w:w="9242" w:type="dxa"/>
        <w:tblInd w:w="454"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242"/>
      </w:tblGrid>
      <w:tr w:rsidR="001B220A" w:rsidRPr="001B220A" w:rsidTr="0073278D">
        <w:trPr>
          <w:tblHeader/>
        </w:trPr>
        <w:tc>
          <w:tcPr>
            <w:tcW w:w="9072" w:type="dxa"/>
            <w:tcBorders>
              <w:top w:val="single" w:sz="4" w:space="0" w:color="104F75"/>
            </w:tcBorders>
          </w:tcPr>
          <w:p w:rsidR="001B220A" w:rsidRPr="001B220A" w:rsidRDefault="001B220A" w:rsidP="0073278D">
            <w:pPr>
              <w:pStyle w:val="Heading4"/>
              <w:spacing w:before="120"/>
              <w:rPr>
                <w:sz w:val="22"/>
                <w:szCs w:val="22"/>
              </w:rPr>
            </w:pPr>
            <w:r w:rsidRPr="001B220A">
              <w:rPr>
                <w:sz w:val="22"/>
                <w:szCs w:val="22"/>
              </w:rPr>
              <w:t>Examples (non-statutory)</w:t>
            </w:r>
          </w:p>
          <w:p w:rsidR="001B220A" w:rsidRPr="001B220A" w:rsidRDefault="001B220A" w:rsidP="0073278D">
            <w:pPr>
              <w:pStyle w:val="Heading5"/>
              <w:spacing w:after="120"/>
              <w:rPr>
                <w:b w:val="0"/>
                <w:sz w:val="22"/>
                <w:szCs w:val="22"/>
              </w:rPr>
            </w:pPr>
            <w:r w:rsidRPr="001B220A">
              <w:rPr>
                <w:b w:val="0"/>
                <w:sz w:val="22"/>
                <w:szCs w:val="22"/>
              </w:rPr>
              <w:t>This could include:</w:t>
            </w:r>
          </w:p>
        </w:tc>
      </w:tr>
      <w:tr w:rsidR="001B220A" w:rsidRPr="001B220A" w:rsidTr="0073278D">
        <w:tc>
          <w:tcPr>
            <w:tcW w:w="9072" w:type="dxa"/>
            <w:tcBorders>
              <w:bottom w:val="single" w:sz="4" w:space="0" w:color="104F75"/>
            </w:tcBorders>
          </w:tcPr>
          <w:p w:rsidR="001B220A" w:rsidRPr="001B220A" w:rsidRDefault="001B220A" w:rsidP="0073278D">
            <w:pPr>
              <w:pStyle w:val="bulletundertext"/>
              <w:spacing w:after="120"/>
              <w:rPr>
                <w:sz w:val="22"/>
                <w:szCs w:val="22"/>
                <w:highlight w:val="yellow"/>
              </w:rPr>
            </w:pPr>
            <w:r w:rsidRPr="001B220A">
              <w:rPr>
                <w:sz w:val="22"/>
                <w:szCs w:val="22"/>
                <w:highlight w:val="yellow"/>
              </w:rPr>
              <w:t xml:space="preserve">late Neolithic hunter-gatherers and early farmers, for example, </w:t>
            </w:r>
            <w:proofErr w:type="spellStart"/>
            <w:r w:rsidRPr="001B220A">
              <w:rPr>
                <w:sz w:val="22"/>
                <w:szCs w:val="22"/>
                <w:highlight w:val="yellow"/>
              </w:rPr>
              <w:t>Skara</w:t>
            </w:r>
            <w:proofErr w:type="spellEnd"/>
            <w:r w:rsidRPr="001B220A">
              <w:rPr>
                <w:sz w:val="22"/>
                <w:szCs w:val="22"/>
                <w:highlight w:val="yellow"/>
              </w:rPr>
              <w:t xml:space="preserve"> Brae</w:t>
            </w:r>
          </w:p>
          <w:p w:rsidR="001B220A" w:rsidRPr="001B220A" w:rsidRDefault="001B220A" w:rsidP="0073278D">
            <w:pPr>
              <w:pStyle w:val="bulletundertext"/>
              <w:spacing w:after="120"/>
              <w:rPr>
                <w:sz w:val="22"/>
                <w:szCs w:val="22"/>
                <w:highlight w:val="yellow"/>
              </w:rPr>
            </w:pPr>
            <w:r w:rsidRPr="001B220A">
              <w:rPr>
                <w:sz w:val="22"/>
                <w:szCs w:val="22"/>
                <w:highlight w:val="yellow"/>
              </w:rPr>
              <w:t>Bronze Age religion, technology and travel, for example, Stonehenge</w:t>
            </w:r>
          </w:p>
          <w:p w:rsidR="001B220A" w:rsidRPr="001B220A" w:rsidRDefault="001B220A" w:rsidP="0073278D">
            <w:pPr>
              <w:pStyle w:val="bulletundertext"/>
              <w:spacing w:after="120"/>
              <w:rPr>
                <w:sz w:val="22"/>
                <w:szCs w:val="22"/>
              </w:rPr>
            </w:pPr>
            <w:r w:rsidRPr="001B220A">
              <w:rPr>
                <w:sz w:val="22"/>
                <w:szCs w:val="22"/>
                <w:highlight w:val="yellow"/>
              </w:rPr>
              <w:t>Iron Age hill forts: tribal kingdoms, farming, art and culture</w:t>
            </w:r>
          </w:p>
        </w:tc>
      </w:tr>
    </w:tbl>
    <w:p w:rsidR="001B220A" w:rsidRPr="001B220A" w:rsidRDefault="001B220A" w:rsidP="001B220A">
      <w:pPr>
        <w:spacing w:after="0"/>
        <w:rPr>
          <w:sz w:val="22"/>
          <w:szCs w:val="22"/>
        </w:rPr>
      </w:pPr>
    </w:p>
    <w:p w:rsidR="001B220A" w:rsidRPr="001B220A" w:rsidRDefault="001B220A" w:rsidP="001B220A">
      <w:pPr>
        <w:pStyle w:val="bulletundertext"/>
        <w:numPr>
          <w:ilvl w:val="0"/>
          <w:numId w:val="0"/>
        </w:numPr>
        <w:spacing w:after="120"/>
        <w:ind w:left="357" w:hanging="357"/>
        <w:rPr>
          <w:sz w:val="22"/>
          <w:szCs w:val="22"/>
        </w:rPr>
      </w:pPr>
      <w:r>
        <w:rPr>
          <w:b/>
          <w:color w:val="FF0000"/>
        </w:rPr>
        <w:t xml:space="preserve">H2 - </w:t>
      </w:r>
      <w:r w:rsidRPr="001B220A">
        <w:rPr>
          <w:sz w:val="22"/>
          <w:szCs w:val="22"/>
          <w:highlight w:val="yellow"/>
        </w:rPr>
        <w:t>the Roman Empire and its impact on Britain</w:t>
      </w:r>
    </w:p>
    <w:tbl>
      <w:tblPr>
        <w:tblW w:w="9242" w:type="dxa"/>
        <w:tblInd w:w="454"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242"/>
      </w:tblGrid>
      <w:tr w:rsidR="001B220A" w:rsidRPr="001B220A" w:rsidTr="0073278D">
        <w:trPr>
          <w:tblHeader/>
        </w:trPr>
        <w:tc>
          <w:tcPr>
            <w:tcW w:w="9072" w:type="dxa"/>
            <w:tcBorders>
              <w:top w:val="single" w:sz="4" w:space="0" w:color="104F75"/>
            </w:tcBorders>
          </w:tcPr>
          <w:p w:rsidR="001B220A" w:rsidRPr="001B220A" w:rsidRDefault="001B220A" w:rsidP="0073278D">
            <w:pPr>
              <w:pStyle w:val="Heading4"/>
              <w:spacing w:before="120"/>
              <w:rPr>
                <w:sz w:val="22"/>
                <w:szCs w:val="22"/>
              </w:rPr>
            </w:pPr>
            <w:r w:rsidRPr="001B220A">
              <w:rPr>
                <w:sz w:val="22"/>
                <w:szCs w:val="22"/>
              </w:rPr>
              <w:t>Examples (non-statutory)</w:t>
            </w:r>
          </w:p>
          <w:p w:rsidR="001B220A" w:rsidRPr="001B220A" w:rsidRDefault="001B220A" w:rsidP="0073278D">
            <w:pPr>
              <w:spacing w:before="120" w:after="120"/>
              <w:rPr>
                <w:sz w:val="22"/>
                <w:szCs w:val="22"/>
                <w:lang w:eastAsia="en-US"/>
              </w:rPr>
            </w:pPr>
            <w:r w:rsidRPr="001B220A">
              <w:rPr>
                <w:sz w:val="22"/>
                <w:szCs w:val="22"/>
                <w:lang w:eastAsia="en-US"/>
              </w:rPr>
              <w:t>This could include:</w:t>
            </w:r>
          </w:p>
        </w:tc>
      </w:tr>
      <w:tr w:rsidR="001B220A" w:rsidRPr="001B220A" w:rsidTr="0073278D">
        <w:tc>
          <w:tcPr>
            <w:tcW w:w="9072" w:type="dxa"/>
            <w:tcBorders>
              <w:bottom w:val="single" w:sz="4" w:space="0" w:color="104F75"/>
            </w:tcBorders>
          </w:tcPr>
          <w:p w:rsidR="001B220A" w:rsidRPr="001B220A" w:rsidRDefault="001B220A" w:rsidP="0073278D">
            <w:pPr>
              <w:pStyle w:val="bulletundertext"/>
              <w:spacing w:after="120"/>
              <w:rPr>
                <w:sz w:val="22"/>
                <w:szCs w:val="22"/>
                <w:highlight w:val="yellow"/>
              </w:rPr>
            </w:pPr>
            <w:r w:rsidRPr="001B220A">
              <w:rPr>
                <w:sz w:val="22"/>
                <w:szCs w:val="22"/>
                <w:highlight w:val="yellow"/>
              </w:rPr>
              <w:t>Julius Caesar’s attempted invasion in 55-54 BC</w:t>
            </w:r>
          </w:p>
          <w:p w:rsidR="001B220A" w:rsidRPr="001B220A" w:rsidRDefault="001B220A" w:rsidP="0073278D">
            <w:pPr>
              <w:pStyle w:val="bulletundertext"/>
              <w:spacing w:after="120"/>
              <w:rPr>
                <w:sz w:val="22"/>
                <w:szCs w:val="22"/>
                <w:highlight w:val="yellow"/>
              </w:rPr>
            </w:pPr>
            <w:r w:rsidRPr="001B220A">
              <w:rPr>
                <w:sz w:val="22"/>
                <w:szCs w:val="22"/>
                <w:highlight w:val="yellow"/>
              </w:rPr>
              <w:t>the Roman Empire by AD 42 and the power of its army</w:t>
            </w:r>
          </w:p>
          <w:p w:rsidR="001B220A" w:rsidRPr="001B220A" w:rsidRDefault="001B220A" w:rsidP="0073278D">
            <w:pPr>
              <w:pStyle w:val="bulletundertext"/>
              <w:spacing w:after="120"/>
              <w:rPr>
                <w:sz w:val="22"/>
                <w:szCs w:val="22"/>
                <w:highlight w:val="yellow"/>
              </w:rPr>
            </w:pPr>
            <w:r w:rsidRPr="001B220A">
              <w:rPr>
                <w:sz w:val="22"/>
                <w:szCs w:val="22"/>
                <w:highlight w:val="yellow"/>
              </w:rPr>
              <w:t>successful invasion by Claudius and conquest, including Hadrian’s Wall</w:t>
            </w:r>
          </w:p>
          <w:p w:rsidR="001B220A" w:rsidRPr="001B220A" w:rsidRDefault="001B220A" w:rsidP="0073278D">
            <w:pPr>
              <w:pStyle w:val="bulletundertext"/>
              <w:spacing w:after="120"/>
              <w:rPr>
                <w:sz w:val="22"/>
                <w:szCs w:val="22"/>
                <w:highlight w:val="yellow"/>
              </w:rPr>
            </w:pPr>
            <w:r w:rsidRPr="001B220A">
              <w:rPr>
                <w:sz w:val="22"/>
                <w:szCs w:val="22"/>
                <w:highlight w:val="yellow"/>
              </w:rPr>
              <w:t xml:space="preserve">British resistance, for example, </w:t>
            </w:r>
            <w:proofErr w:type="spellStart"/>
            <w:r w:rsidRPr="001B220A">
              <w:rPr>
                <w:sz w:val="22"/>
                <w:szCs w:val="22"/>
                <w:highlight w:val="yellow"/>
              </w:rPr>
              <w:t>Boudica</w:t>
            </w:r>
            <w:proofErr w:type="spellEnd"/>
          </w:p>
          <w:p w:rsidR="001B220A" w:rsidRPr="001B220A" w:rsidRDefault="001B220A" w:rsidP="0073278D">
            <w:pPr>
              <w:pStyle w:val="bulletundertext"/>
              <w:spacing w:after="120"/>
              <w:rPr>
                <w:sz w:val="22"/>
                <w:szCs w:val="22"/>
              </w:rPr>
            </w:pPr>
            <w:r w:rsidRPr="001B220A">
              <w:rPr>
                <w:sz w:val="22"/>
                <w:szCs w:val="22"/>
              </w:rPr>
              <w:t>‘</w:t>
            </w:r>
            <w:r w:rsidRPr="001B220A">
              <w:rPr>
                <w:sz w:val="22"/>
                <w:szCs w:val="22"/>
                <w:highlight w:val="yellow"/>
              </w:rPr>
              <w:t xml:space="preserve">Romanisation’ of Britain: sites such as </w:t>
            </w:r>
            <w:proofErr w:type="spellStart"/>
            <w:r w:rsidRPr="001B220A">
              <w:rPr>
                <w:sz w:val="22"/>
                <w:szCs w:val="22"/>
                <w:highlight w:val="yellow"/>
              </w:rPr>
              <w:t>Caerwent</w:t>
            </w:r>
            <w:proofErr w:type="spellEnd"/>
            <w:r w:rsidRPr="001B220A">
              <w:rPr>
                <w:sz w:val="22"/>
                <w:szCs w:val="22"/>
                <w:highlight w:val="yellow"/>
              </w:rPr>
              <w:t xml:space="preserve"> and the impact of technology, culture and beliefs, including early Christianity</w:t>
            </w:r>
          </w:p>
        </w:tc>
      </w:tr>
    </w:tbl>
    <w:p w:rsidR="001B220A" w:rsidRPr="001B220A" w:rsidRDefault="001B220A" w:rsidP="001B220A">
      <w:pPr>
        <w:spacing w:after="0"/>
        <w:rPr>
          <w:sz w:val="22"/>
          <w:szCs w:val="22"/>
        </w:rPr>
      </w:pPr>
    </w:p>
    <w:p w:rsidR="001B220A" w:rsidRPr="001B220A" w:rsidRDefault="001B220A" w:rsidP="001B220A">
      <w:pPr>
        <w:pStyle w:val="bulletundertext"/>
        <w:numPr>
          <w:ilvl w:val="0"/>
          <w:numId w:val="0"/>
        </w:numPr>
        <w:spacing w:after="120"/>
        <w:ind w:left="357" w:hanging="357"/>
        <w:rPr>
          <w:sz w:val="22"/>
          <w:szCs w:val="22"/>
        </w:rPr>
      </w:pPr>
      <w:r>
        <w:rPr>
          <w:b/>
          <w:color w:val="FF0000"/>
        </w:rPr>
        <w:t xml:space="preserve">H3A - </w:t>
      </w:r>
      <w:r w:rsidRPr="001B220A">
        <w:rPr>
          <w:sz w:val="22"/>
          <w:szCs w:val="22"/>
          <w:highlight w:val="yellow"/>
        </w:rPr>
        <w:t>Britain’s settlement by Anglo-Saxons</w:t>
      </w:r>
      <w:r w:rsidRPr="001B220A">
        <w:rPr>
          <w:sz w:val="22"/>
          <w:szCs w:val="22"/>
        </w:rPr>
        <w:t xml:space="preserve"> and Scots</w:t>
      </w:r>
    </w:p>
    <w:tbl>
      <w:tblPr>
        <w:tblW w:w="9242" w:type="dxa"/>
        <w:tblInd w:w="454"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242"/>
      </w:tblGrid>
      <w:tr w:rsidR="001B220A" w:rsidRPr="001B220A" w:rsidTr="0073278D">
        <w:trPr>
          <w:tblHeader/>
        </w:trPr>
        <w:tc>
          <w:tcPr>
            <w:tcW w:w="9072" w:type="dxa"/>
            <w:tcBorders>
              <w:top w:val="single" w:sz="4" w:space="0" w:color="104F75"/>
            </w:tcBorders>
          </w:tcPr>
          <w:p w:rsidR="001B220A" w:rsidRPr="001B220A" w:rsidRDefault="001B220A" w:rsidP="0073278D">
            <w:pPr>
              <w:pStyle w:val="Heading4"/>
              <w:spacing w:before="120"/>
              <w:rPr>
                <w:sz w:val="22"/>
                <w:szCs w:val="22"/>
              </w:rPr>
            </w:pPr>
            <w:r w:rsidRPr="001B220A">
              <w:rPr>
                <w:sz w:val="22"/>
                <w:szCs w:val="22"/>
              </w:rPr>
              <w:t>Examples (non-statutory)</w:t>
            </w:r>
          </w:p>
          <w:p w:rsidR="001B220A" w:rsidRPr="001B220A" w:rsidRDefault="001B220A" w:rsidP="0073278D">
            <w:pPr>
              <w:spacing w:before="120" w:after="120"/>
              <w:rPr>
                <w:sz w:val="22"/>
                <w:szCs w:val="22"/>
                <w:lang w:eastAsia="en-US"/>
              </w:rPr>
            </w:pPr>
            <w:r w:rsidRPr="001B220A">
              <w:rPr>
                <w:sz w:val="22"/>
                <w:szCs w:val="22"/>
                <w:lang w:eastAsia="en-US"/>
              </w:rPr>
              <w:t>This could include:</w:t>
            </w:r>
          </w:p>
        </w:tc>
      </w:tr>
      <w:tr w:rsidR="001B220A" w:rsidRPr="001B220A" w:rsidTr="0073278D">
        <w:tc>
          <w:tcPr>
            <w:tcW w:w="9072" w:type="dxa"/>
            <w:tcBorders>
              <w:bottom w:val="single" w:sz="4" w:space="0" w:color="104F75"/>
            </w:tcBorders>
          </w:tcPr>
          <w:p w:rsidR="001B220A" w:rsidRPr="001B220A" w:rsidRDefault="001B220A" w:rsidP="0073278D">
            <w:pPr>
              <w:pStyle w:val="bulletundertext"/>
              <w:spacing w:after="120"/>
              <w:rPr>
                <w:sz w:val="22"/>
                <w:szCs w:val="22"/>
                <w:highlight w:val="yellow"/>
              </w:rPr>
            </w:pPr>
            <w:r w:rsidRPr="001B220A">
              <w:rPr>
                <w:sz w:val="22"/>
                <w:szCs w:val="22"/>
                <w:highlight w:val="yellow"/>
              </w:rPr>
              <w:t>Roman withdrawal from Britain in c. AD 410 and the fall of the western Roman Empire</w:t>
            </w:r>
          </w:p>
          <w:p w:rsidR="001B220A" w:rsidRPr="001B220A" w:rsidRDefault="001B220A" w:rsidP="0073278D">
            <w:pPr>
              <w:pStyle w:val="bulletundertext"/>
              <w:spacing w:after="120"/>
              <w:rPr>
                <w:sz w:val="22"/>
                <w:szCs w:val="22"/>
              </w:rPr>
            </w:pPr>
            <w:r w:rsidRPr="001B220A">
              <w:rPr>
                <w:sz w:val="22"/>
                <w:szCs w:val="22"/>
              </w:rPr>
              <w:t>Scots invasions from Ireland to north Britain (now Scotland)</w:t>
            </w:r>
          </w:p>
          <w:p w:rsidR="001B220A" w:rsidRPr="001B220A" w:rsidRDefault="001B220A" w:rsidP="0073278D">
            <w:pPr>
              <w:pStyle w:val="bulletundertext"/>
              <w:spacing w:after="120"/>
              <w:rPr>
                <w:sz w:val="22"/>
                <w:szCs w:val="22"/>
                <w:highlight w:val="yellow"/>
              </w:rPr>
            </w:pPr>
            <w:r w:rsidRPr="001B220A">
              <w:rPr>
                <w:sz w:val="22"/>
                <w:szCs w:val="22"/>
                <w:highlight w:val="yellow"/>
              </w:rPr>
              <w:t>Anglo-Saxon invasions, settlements and kingdoms: place names and village life</w:t>
            </w:r>
          </w:p>
          <w:p w:rsidR="001B220A" w:rsidRPr="001B220A" w:rsidRDefault="001B220A" w:rsidP="001B220A">
            <w:pPr>
              <w:pStyle w:val="bulletundertext"/>
              <w:spacing w:after="120"/>
              <w:rPr>
                <w:sz w:val="22"/>
                <w:szCs w:val="22"/>
              </w:rPr>
            </w:pPr>
            <w:r w:rsidRPr="001B220A">
              <w:rPr>
                <w:sz w:val="22"/>
                <w:szCs w:val="22"/>
                <w:highlight w:val="yellow"/>
              </w:rPr>
              <w:t xml:space="preserve">Anglo-Saxon art and culture / Christian conversion – Canterbury, Iona and </w:t>
            </w:r>
            <w:proofErr w:type="spellStart"/>
            <w:r w:rsidRPr="001B220A">
              <w:rPr>
                <w:sz w:val="22"/>
                <w:szCs w:val="22"/>
                <w:highlight w:val="yellow"/>
              </w:rPr>
              <w:t>Lindisfarne</w:t>
            </w:r>
            <w:proofErr w:type="spellEnd"/>
          </w:p>
        </w:tc>
      </w:tr>
    </w:tbl>
    <w:p w:rsidR="001B220A" w:rsidRPr="001B220A" w:rsidRDefault="001B220A" w:rsidP="001B220A">
      <w:pPr>
        <w:spacing w:after="0"/>
        <w:rPr>
          <w:sz w:val="22"/>
          <w:szCs w:val="22"/>
        </w:rPr>
      </w:pPr>
    </w:p>
    <w:p w:rsidR="001B220A" w:rsidRPr="001B220A" w:rsidRDefault="001B220A" w:rsidP="001B220A">
      <w:pPr>
        <w:pStyle w:val="bulletundertext"/>
        <w:keepNext/>
        <w:numPr>
          <w:ilvl w:val="0"/>
          <w:numId w:val="0"/>
        </w:numPr>
        <w:spacing w:after="120"/>
        <w:ind w:left="357" w:hanging="357"/>
        <w:rPr>
          <w:sz w:val="22"/>
          <w:szCs w:val="22"/>
        </w:rPr>
      </w:pPr>
      <w:r>
        <w:rPr>
          <w:b/>
          <w:color w:val="FF0000"/>
        </w:rPr>
        <w:lastRenderedPageBreak/>
        <w:t xml:space="preserve">H3B - </w:t>
      </w:r>
      <w:r w:rsidRPr="001B220A">
        <w:rPr>
          <w:sz w:val="22"/>
          <w:szCs w:val="22"/>
          <w:highlight w:val="yellow"/>
        </w:rPr>
        <w:t>the Viking and Anglo-Saxon struggle for the Kingdom of England</w:t>
      </w:r>
      <w:r w:rsidRPr="001B220A">
        <w:rPr>
          <w:sz w:val="22"/>
          <w:szCs w:val="22"/>
        </w:rPr>
        <w:t xml:space="preserve"> to the time of Edward the Confessor</w:t>
      </w:r>
    </w:p>
    <w:tbl>
      <w:tblPr>
        <w:tblW w:w="9242" w:type="dxa"/>
        <w:tblInd w:w="454"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242"/>
      </w:tblGrid>
      <w:tr w:rsidR="001B220A" w:rsidRPr="001B220A" w:rsidTr="0073278D">
        <w:trPr>
          <w:tblHeader/>
        </w:trPr>
        <w:tc>
          <w:tcPr>
            <w:tcW w:w="9072" w:type="dxa"/>
            <w:tcBorders>
              <w:top w:val="single" w:sz="4" w:space="0" w:color="104F75"/>
            </w:tcBorders>
          </w:tcPr>
          <w:p w:rsidR="001B220A" w:rsidRPr="001B220A" w:rsidRDefault="001B220A" w:rsidP="0073278D">
            <w:pPr>
              <w:pStyle w:val="Heading4"/>
              <w:spacing w:before="120"/>
              <w:rPr>
                <w:sz w:val="22"/>
                <w:szCs w:val="22"/>
              </w:rPr>
            </w:pPr>
            <w:r w:rsidRPr="001B220A">
              <w:rPr>
                <w:sz w:val="22"/>
                <w:szCs w:val="22"/>
              </w:rPr>
              <w:t>Examples (non-statutory)</w:t>
            </w:r>
          </w:p>
          <w:p w:rsidR="001B220A" w:rsidRPr="001B220A" w:rsidRDefault="001B220A" w:rsidP="0073278D">
            <w:pPr>
              <w:spacing w:before="120" w:after="120"/>
              <w:rPr>
                <w:sz w:val="22"/>
                <w:szCs w:val="22"/>
                <w:lang w:eastAsia="en-US"/>
              </w:rPr>
            </w:pPr>
            <w:r w:rsidRPr="001B220A">
              <w:rPr>
                <w:sz w:val="22"/>
                <w:szCs w:val="22"/>
                <w:lang w:eastAsia="en-US"/>
              </w:rPr>
              <w:t>This could include:</w:t>
            </w:r>
          </w:p>
        </w:tc>
      </w:tr>
      <w:tr w:rsidR="001B220A" w:rsidRPr="001B220A" w:rsidTr="0073278D">
        <w:trPr>
          <w:cantSplit/>
        </w:trPr>
        <w:tc>
          <w:tcPr>
            <w:tcW w:w="9072" w:type="dxa"/>
            <w:tcBorders>
              <w:bottom w:val="single" w:sz="4" w:space="0" w:color="104F75"/>
            </w:tcBorders>
          </w:tcPr>
          <w:p w:rsidR="001B220A" w:rsidRPr="001B220A" w:rsidRDefault="001B220A" w:rsidP="0073278D">
            <w:pPr>
              <w:pStyle w:val="bulletundertext"/>
              <w:spacing w:after="80"/>
              <w:rPr>
                <w:sz w:val="22"/>
                <w:szCs w:val="22"/>
                <w:highlight w:val="yellow"/>
              </w:rPr>
            </w:pPr>
            <w:r w:rsidRPr="001B220A">
              <w:rPr>
                <w:sz w:val="22"/>
                <w:szCs w:val="22"/>
                <w:highlight w:val="yellow"/>
              </w:rPr>
              <w:t>Viking raids and invasion</w:t>
            </w:r>
          </w:p>
          <w:p w:rsidR="001B220A" w:rsidRPr="001B220A" w:rsidRDefault="001B220A" w:rsidP="0073278D">
            <w:pPr>
              <w:pStyle w:val="bulletundertext"/>
              <w:spacing w:after="80"/>
              <w:rPr>
                <w:sz w:val="22"/>
                <w:szCs w:val="22"/>
                <w:highlight w:val="yellow"/>
              </w:rPr>
            </w:pPr>
            <w:r w:rsidRPr="001B220A">
              <w:rPr>
                <w:sz w:val="22"/>
                <w:szCs w:val="22"/>
                <w:highlight w:val="yellow"/>
              </w:rPr>
              <w:t>resistance by Alfred the Great and Athelstan, first king of England</w:t>
            </w:r>
          </w:p>
          <w:p w:rsidR="001B220A" w:rsidRPr="001B220A" w:rsidRDefault="001B220A" w:rsidP="0073278D">
            <w:pPr>
              <w:pStyle w:val="bulletundertext"/>
              <w:spacing w:after="80"/>
              <w:rPr>
                <w:sz w:val="22"/>
                <w:szCs w:val="22"/>
                <w:highlight w:val="yellow"/>
              </w:rPr>
            </w:pPr>
            <w:r w:rsidRPr="001B220A">
              <w:rPr>
                <w:sz w:val="22"/>
                <w:szCs w:val="22"/>
                <w:highlight w:val="yellow"/>
              </w:rPr>
              <w:t xml:space="preserve">further Viking invasions and </w:t>
            </w:r>
            <w:proofErr w:type="spellStart"/>
            <w:r w:rsidRPr="001B220A">
              <w:rPr>
                <w:sz w:val="22"/>
                <w:szCs w:val="22"/>
                <w:highlight w:val="yellow"/>
              </w:rPr>
              <w:t>Danegeld</w:t>
            </w:r>
            <w:proofErr w:type="spellEnd"/>
          </w:p>
          <w:p w:rsidR="001B220A" w:rsidRPr="001B220A" w:rsidRDefault="001B220A" w:rsidP="0073278D">
            <w:pPr>
              <w:pStyle w:val="bulletundertext"/>
              <w:spacing w:after="80"/>
              <w:rPr>
                <w:sz w:val="22"/>
                <w:szCs w:val="22"/>
              </w:rPr>
            </w:pPr>
            <w:r w:rsidRPr="001B220A">
              <w:rPr>
                <w:sz w:val="22"/>
                <w:szCs w:val="22"/>
              </w:rPr>
              <w:t>Anglo-Saxon laws and justice</w:t>
            </w:r>
          </w:p>
          <w:p w:rsidR="001B220A" w:rsidRPr="001B220A" w:rsidRDefault="001B220A" w:rsidP="0073278D">
            <w:pPr>
              <w:pStyle w:val="bulletundertext"/>
              <w:spacing w:after="60"/>
              <w:rPr>
                <w:sz w:val="22"/>
                <w:szCs w:val="22"/>
              </w:rPr>
            </w:pPr>
            <w:r w:rsidRPr="001B220A">
              <w:rPr>
                <w:sz w:val="22"/>
                <w:szCs w:val="22"/>
              </w:rPr>
              <w:t>Edward the Confessor and his death in 1066</w:t>
            </w:r>
          </w:p>
        </w:tc>
      </w:tr>
    </w:tbl>
    <w:p w:rsidR="001B220A" w:rsidRPr="001B220A" w:rsidRDefault="001B220A" w:rsidP="001B220A">
      <w:pPr>
        <w:spacing w:after="0"/>
        <w:rPr>
          <w:sz w:val="22"/>
          <w:szCs w:val="22"/>
        </w:rPr>
      </w:pPr>
    </w:p>
    <w:p w:rsidR="001B220A" w:rsidRPr="001B220A" w:rsidRDefault="001B220A" w:rsidP="001B220A">
      <w:pPr>
        <w:pStyle w:val="bulletundertext"/>
        <w:numPr>
          <w:ilvl w:val="0"/>
          <w:numId w:val="0"/>
        </w:numPr>
        <w:spacing w:after="120"/>
        <w:ind w:left="357" w:hanging="357"/>
        <w:rPr>
          <w:sz w:val="22"/>
          <w:szCs w:val="22"/>
        </w:rPr>
      </w:pPr>
      <w:r>
        <w:rPr>
          <w:b/>
          <w:color w:val="FF0000"/>
        </w:rPr>
        <w:t xml:space="preserve">H4 - </w:t>
      </w:r>
      <w:r w:rsidRPr="001B220A">
        <w:rPr>
          <w:sz w:val="22"/>
          <w:szCs w:val="22"/>
          <w:highlight w:val="yellow"/>
        </w:rPr>
        <w:t>a local history study</w:t>
      </w:r>
    </w:p>
    <w:tbl>
      <w:tblPr>
        <w:tblW w:w="9242" w:type="dxa"/>
        <w:tblInd w:w="454"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242"/>
      </w:tblGrid>
      <w:tr w:rsidR="001B220A" w:rsidRPr="001B220A" w:rsidTr="0073278D">
        <w:trPr>
          <w:tblHeader/>
        </w:trPr>
        <w:tc>
          <w:tcPr>
            <w:tcW w:w="9072" w:type="dxa"/>
            <w:tcBorders>
              <w:top w:val="single" w:sz="4" w:space="0" w:color="104F75"/>
            </w:tcBorders>
          </w:tcPr>
          <w:p w:rsidR="001B220A" w:rsidRPr="001B220A" w:rsidRDefault="001B220A" w:rsidP="0073278D">
            <w:pPr>
              <w:pStyle w:val="Heading4"/>
              <w:spacing w:before="120"/>
              <w:rPr>
                <w:sz w:val="22"/>
                <w:szCs w:val="22"/>
              </w:rPr>
            </w:pPr>
            <w:r w:rsidRPr="001B220A">
              <w:rPr>
                <w:sz w:val="22"/>
                <w:szCs w:val="22"/>
              </w:rPr>
              <w:t>Examples (non-statutory)</w:t>
            </w:r>
          </w:p>
        </w:tc>
      </w:tr>
      <w:tr w:rsidR="001B220A" w:rsidRPr="001B220A" w:rsidTr="0073278D">
        <w:tc>
          <w:tcPr>
            <w:tcW w:w="9072" w:type="dxa"/>
            <w:tcBorders>
              <w:bottom w:val="single" w:sz="4" w:space="0" w:color="104F75"/>
            </w:tcBorders>
          </w:tcPr>
          <w:p w:rsidR="001B220A" w:rsidRPr="001B220A" w:rsidRDefault="001B220A" w:rsidP="0073278D">
            <w:pPr>
              <w:pStyle w:val="bulletundertext"/>
              <w:spacing w:after="80"/>
              <w:rPr>
                <w:sz w:val="22"/>
                <w:szCs w:val="22"/>
              </w:rPr>
            </w:pPr>
            <w:r w:rsidRPr="001B220A">
              <w:rPr>
                <w:sz w:val="22"/>
                <w:szCs w:val="22"/>
              </w:rPr>
              <w:t>a depth study linked to one of the British areas of study listed above</w:t>
            </w:r>
          </w:p>
          <w:p w:rsidR="001B220A" w:rsidRPr="001B220A" w:rsidRDefault="001B220A" w:rsidP="0073278D">
            <w:pPr>
              <w:pStyle w:val="bulletundertext"/>
              <w:spacing w:after="80"/>
              <w:rPr>
                <w:sz w:val="22"/>
                <w:szCs w:val="22"/>
                <w:highlight w:val="yellow"/>
              </w:rPr>
            </w:pPr>
            <w:proofErr w:type="gramStart"/>
            <w:r w:rsidRPr="001B220A">
              <w:rPr>
                <w:sz w:val="22"/>
                <w:szCs w:val="22"/>
                <w:highlight w:val="yellow"/>
              </w:rPr>
              <w:t>a</w:t>
            </w:r>
            <w:proofErr w:type="gramEnd"/>
            <w:r w:rsidRPr="001B220A">
              <w:rPr>
                <w:sz w:val="22"/>
                <w:szCs w:val="22"/>
                <w:highlight w:val="yellow"/>
              </w:rPr>
              <w:t xml:space="preserve"> study over time tracing how several aspects of national history are reflected in the locality (this can go beyond 1066)</w:t>
            </w:r>
            <w:r>
              <w:rPr>
                <w:sz w:val="22"/>
                <w:szCs w:val="22"/>
                <w:highlight w:val="yellow"/>
              </w:rPr>
              <w:t xml:space="preserve"> WW1 or WW2 The Local Cowfold Aspect.</w:t>
            </w:r>
          </w:p>
          <w:p w:rsidR="001B220A" w:rsidRPr="001B220A" w:rsidRDefault="001B220A" w:rsidP="0073278D">
            <w:pPr>
              <w:pStyle w:val="bulletundertext"/>
              <w:spacing w:after="60"/>
              <w:rPr>
                <w:sz w:val="22"/>
                <w:szCs w:val="22"/>
              </w:rPr>
            </w:pPr>
            <w:proofErr w:type="gramStart"/>
            <w:r w:rsidRPr="001B220A">
              <w:rPr>
                <w:sz w:val="22"/>
                <w:szCs w:val="22"/>
              </w:rPr>
              <w:t>a</w:t>
            </w:r>
            <w:proofErr w:type="gramEnd"/>
            <w:r w:rsidRPr="001B220A">
              <w:rPr>
                <w:sz w:val="22"/>
                <w:szCs w:val="22"/>
              </w:rPr>
              <w:t xml:space="preserve"> study of an aspect of history or a site dating from a period beyond 1066 that is significant in the locality.</w:t>
            </w:r>
          </w:p>
        </w:tc>
      </w:tr>
    </w:tbl>
    <w:p w:rsidR="001B220A" w:rsidRPr="001B220A" w:rsidRDefault="001B220A" w:rsidP="001B220A">
      <w:pPr>
        <w:spacing w:after="0"/>
        <w:rPr>
          <w:sz w:val="22"/>
          <w:szCs w:val="22"/>
        </w:rPr>
      </w:pPr>
    </w:p>
    <w:p w:rsidR="001B220A" w:rsidRPr="001B220A" w:rsidRDefault="001B220A" w:rsidP="001B220A">
      <w:pPr>
        <w:pStyle w:val="bulletundertext"/>
        <w:numPr>
          <w:ilvl w:val="0"/>
          <w:numId w:val="0"/>
        </w:numPr>
        <w:spacing w:after="120"/>
        <w:ind w:left="357" w:hanging="357"/>
        <w:rPr>
          <w:sz w:val="22"/>
          <w:szCs w:val="22"/>
        </w:rPr>
      </w:pPr>
      <w:r>
        <w:rPr>
          <w:b/>
          <w:color w:val="FF0000"/>
        </w:rPr>
        <w:t xml:space="preserve">H5 - </w:t>
      </w:r>
      <w:r w:rsidRPr="001B220A">
        <w:rPr>
          <w:sz w:val="22"/>
          <w:szCs w:val="22"/>
          <w:highlight w:val="yellow"/>
        </w:rPr>
        <w:t>a study of an aspect or theme in British history that extends pupils’ chronological knowledge beyond 1066</w:t>
      </w:r>
    </w:p>
    <w:tbl>
      <w:tblPr>
        <w:tblW w:w="9242" w:type="dxa"/>
        <w:tblInd w:w="454"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242"/>
      </w:tblGrid>
      <w:tr w:rsidR="001B220A" w:rsidRPr="001B220A" w:rsidTr="0073278D">
        <w:trPr>
          <w:tblHeader/>
        </w:trPr>
        <w:tc>
          <w:tcPr>
            <w:tcW w:w="9072" w:type="dxa"/>
            <w:tcBorders>
              <w:top w:val="single" w:sz="4" w:space="0" w:color="104F75"/>
            </w:tcBorders>
          </w:tcPr>
          <w:p w:rsidR="001B220A" w:rsidRPr="001B220A" w:rsidRDefault="001B220A" w:rsidP="0073278D">
            <w:pPr>
              <w:pStyle w:val="Heading4"/>
              <w:spacing w:before="120"/>
              <w:rPr>
                <w:sz w:val="22"/>
                <w:szCs w:val="22"/>
              </w:rPr>
            </w:pPr>
            <w:r w:rsidRPr="001B220A">
              <w:rPr>
                <w:sz w:val="22"/>
                <w:szCs w:val="22"/>
              </w:rPr>
              <w:t>Examples (non-statutory)</w:t>
            </w:r>
          </w:p>
        </w:tc>
      </w:tr>
      <w:tr w:rsidR="001B220A" w:rsidRPr="001B220A" w:rsidTr="0073278D">
        <w:tc>
          <w:tcPr>
            <w:tcW w:w="9072" w:type="dxa"/>
            <w:tcBorders>
              <w:bottom w:val="single" w:sz="4" w:space="0" w:color="104F75"/>
            </w:tcBorders>
          </w:tcPr>
          <w:p w:rsidR="001B220A" w:rsidRPr="001B220A" w:rsidRDefault="001B220A" w:rsidP="0073278D">
            <w:pPr>
              <w:pStyle w:val="bulletundertext"/>
              <w:spacing w:after="80"/>
              <w:rPr>
                <w:sz w:val="22"/>
                <w:szCs w:val="22"/>
              </w:rPr>
            </w:pPr>
            <w:r w:rsidRPr="001B220A">
              <w:rPr>
                <w:sz w:val="22"/>
                <w:szCs w:val="22"/>
              </w:rPr>
              <w:t>the changing power of monarchs using case studies such as John, Anne and Victoria</w:t>
            </w:r>
          </w:p>
          <w:p w:rsidR="001B220A" w:rsidRPr="001B220A" w:rsidRDefault="001B220A" w:rsidP="0073278D">
            <w:pPr>
              <w:pStyle w:val="bulletundertext"/>
              <w:spacing w:after="80"/>
              <w:rPr>
                <w:sz w:val="22"/>
                <w:szCs w:val="22"/>
              </w:rPr>
            </w:pPr>
            <w:r w:rsidRPr="001B220A">
              <w:rPr>
                <w:sz w:val="22"/>
                <w:szCs w:val="22"/>
              </w:rPr>
              <w:t>changes in an aspect of social history, such as crime and punishment from the Anglo-Saxons to the present or leisure and entertainment in the 20</w:t>
            </w:r>
            <w:r w:rsidRPr="001B220A">
              <w:rPr>
                <w:sz w:val="22"/>
                <w:szCs w:val="22"/>
                <w:vertAlign w:val="superscript"/>
              </w:rPr>
              <w:t>th</w:t>
            </w:r>
            <w:r w:rsidRPr="001B220A">
              <w:rPr>
                <w:sz w:val="22"/>
                <w:szCs w:val="22"/>
              </w:rPr>
              <w:t xml:space="preserve"> Century</w:t>
            </w:r>
          </w:p>
          <w:p w:rsidR="001B220A" w:rsidRPr="001B220A" w:rsidRDefault="001B220A" w:rsidP="0073278D">
            <w:pPr>
              <w:pStyle w:val="bulletundertext"/>
              <w:spacing w:after="80"/>
              <w:rPr>
                <w:sz w:val="22"/>
                <w:szCs w:val="22"/>
              </w:rPr>
            </w:pPr>
            <w:r w:rsidRPr="001B220A">
              <w:rPr>
                <w:sz w:val="22"/>
                <w:szCs w:val="22"/>
              </w:rPr>
              <w:t>the legacy of Greek or Roman culture (art, architecture or literature) on later periods in British history, including the present day</w:t>
            </w:r>
          </w:p>
          <w:p w:rsidR="001B220A" w:rsidRPr="001B220A" w:rsidRDefault="001B220A" w:rsidP="0073278D">
            <w:pPr>
              <w:pStyle w:val="bulletundertext"/>
              <w:spacing w:after="60"/>
              <w:rPr>
                <w:sz w:val="22"/>
                <w:szCs w:val="22"/>
              </w:rPr>
            </w:pPr>
            <w:proofErr w:type="gramStart"/>
            <w:r w:rsidRPr="001B220A">
              <w:rPr>
                <w:sz w:val="22"/>
                <w:szCs w:val="22"/>
              </w:rPr>
              <w:t>a</w:t>
            </w:r>
            <w:proofErr w:type="gramEnd"/>
            <w:r w:rsidRPr="001B220A">
              <w:rPr>
                <w:sz w:val="22"/>
                <w:szCs w:val="22"/>
              </w:rPr>
              <w:t xml:space="preserve"> significant turning point in British history, for example, the first railways or the Battle of Britain</w:t>
            </w:r>
            <w:r>
              <w:rPr>
                <w:sz w:val="22"/>
                <w:szCs w:val="22"/>
              </w:rPr>
              <w:t xml:space="preserve">. </w:t>
            </w:r>
            <w:r w:rsidRPr="001B220A">
              <w:rPr>
                <w:sz w:val="22"/>
                <w:szCs w:val="22"/>
                <w:highlight w:val="yellow"/>
              </w:rPr>
              <w:t>WW1 or WW2.</w:t>
            </w:r>
            <w:r w:rsidR="006B55F5">
              <w:rPr>
                <w:sz w:val="22"/>
                <w:szCs w:val="22"/>
              </w:rPr>
              <w:t xml:space="preserve"> </w:t>
            </w:r>
            <w:bookmarkStart w:id="3" w:name="_GoBack"/>
            <w:bookmarkEnd w:id="3"/>
            <w:proofErr w:type="spellStart"/>
            <w:r w:rsidR="006B55F5" w:rsidRPr="006B55F5">
              <w:rPr>
                <w:sz w:val="22"/>
                <w:szCs w:val="22"/>
                <w:highlight w:val="yellow"/>
              </w:rPr>
              <w:t>Shackelton’s</w:t>
            </w:r>
            <w:proofErr w:type="spellEnd"/>
            <w:r w:rsidR="006B55F5" w:rsidRPr="006B55F5">
              <w:rPr>
                <w:sz w:val="22"/>
                <w:szCs w:val="22"/>
                <w:highlight w:val="yellow"/>
              </w:rPr>
              <w:t xml:space="preserve"> Exploration of Antarctica.</w:t>
            </w:r>
          </w:p>
        </w:tc>
      </w:tr>
    </w:tbl>
    <w:p w:rsidR="001B220A" w:rsidRPr="001B220A" w:rsidRDefault="001B220A" w:rsidP="001B220A">
      <w:pPr>
        <w:spacing w:after="0"/>
        <w:rPr>
          <w:sz w:val="22"/>
          <w:szCs w:val="22"/>
        </w:rPr>
      </w:pPr>
    </w:p>
    <w:p w:rsidR="001B220A" w:rsidRDefault="001B220A" w:rsidP="001B220A">
      <w:pPr>
        <w:pStyle w:val="bulletundertext"/>
        <w:numPr>
          <w:ilvl w:val="0"/>
          <w:numId w:val="0"/>
        </w:numPr>
        <w:ind w:left="357" w:hanging="357"/>
        <w:rPr>
          <w:sz w:val="22"/>
          <w:szCs w:val="22"/>
        </w:rPr>
      </w:pPr>
      <w:r>
        <w:rPr>
          <w:b/>
          <w:color w:val="FF0000"/>
        </w:rPr>
        <w:t xml:space="preserve">H6 - </w:t>
      </w:r>
      <w:r w:rsidRPr="001B220A">
        <w:rPr>
          <w:sz w:val="22"/>
          <w:szCs w:val="22"/>
          <w:highlight w:val="yellow"/>
        </w:rPr>
        <w:t>the achievements of the earliest civilizations</w:t>
      </w:r>
      <w:r w:rsidRPr="001B220A">
        <w:rPr>
          <w:sz w:val="22"/>
          <w:szCs w:val="22"/>
        </w:rPr>
        <w:t xml:space="preserve"> – an overview of where and when the first civilizations appeared and a depth study of one of the following: Ancient Sumer; The Indus Valley; </w:t>
      </w:r>
      <w:r w:rsidRPr="001B220A">
        <w:rPr>
          <w:sz w:val="22"/>
          <w:szCs w:val="22"/>
          <w:highlight w:val="yellow"/>
        </w:rPr>
        <w:t>Ancient Egypt;</w:t>
      </w:r>
      <w:r w:rsidRPr="001B220A">
        <w:rPr>
          <w:sz w:val="22"/>
          <w:szCs w:val="22"/>
        </w:rPr>
        <w:t xml:space="preserve"> The Shang Dynasty of Ancient China</w:t>
      </w:r>
    </w:p>
    <w:p w:rsidR="001B220A" w:rsidRPr="001B220A" w:rsidRDefault="001B220A" w:rsidP="001B220A">
      <w:pPr>
        <w:pStyle w:val="bulletundertext"/>
        <w:numPr>
          <w:ilvl w:val="0"/>
          <w:numId w:val="0"/>
        </w:numPr>
        <w:ind w:left="357" w:hanging="357"/>
        <w:rPr>
          <w:sz w:val="22"/>
          <w:szCs w:val="22"/>
        </w:rPr>
      </w:pPr>
    </w:p>
    <w:p w:rsidR="001B220A" w:rsidRDefault="001B220A" w:rsidP="001B220A">
      <w:pPr>
        <w:pStyle w:val="bulletundertext"/>
        <w:numPr>
          <w:ilvl w:val="0"/>
          <w:numId w:val="0"/>
        </w:numPr>
        <w:ind w:left="357" w:hanging="357"/>
        <w:rPr>
          <w:sz w:val="22"/>
          <w:szCs w:val="22"/>
        </w:rPr>
      </w:pPr>
      <w:r>
        <w:rPr>
          <w:b/>
          <w:color w:val="FF0000"/>
        </w:rPr>
        <w:t xml:space="preserve">H7 - </w:t>
      </w:r>
      <w:r w:rsidRPr="001B220A">
        <w:rPr>
          <w:sz w:val="22"/>
          <w:szCs w:val="22"/>
          <w:highlight w:val="yellow"/>
        </w:rPr>
        <w:t>Ancient Greece – a study of Greek life and achievements and their influence on the western world</w:t>
      </w:r>
    </w:p>
    <w:p w:rsidR="001B220A" w:rsidRPr="001B220A" w:rsidRDefault="001B220A" w:rsidP="001B220A">
      <w:pPr>
        <w:pStyle w:val="bulletundertext"/>
        <w:numPr>
          <w:ilvl w:val="0"/>
          <w:numId w:val="0"/>
        </w:numPr>
        <w:ind w:left="357" w:hanging="357"/>
        <w:rPr>
          <w:sz w:val="22"/>
          <w:szCs w:val="22"/>
        </w:rPr>
      </w:pPr>
    </w:p>
    <w:p w:rsidR="001B220A" w:rsidRPr="001B220A" w:rsidRDefault="001B220A" w:rsidP="001B220A">
      <w:pPr>
        <w:pStyle w:val="bulletundertext"/>
        <w:numPr>
          <w:ilvl w:val="0"/>
          <w:numId w:val="0"/>
        </w:numPr>
        <w:ind w:left="357" w:hanging="357"/>
        <w:rPr>
          <w:sz w:val="22"/>
          <w:szCs w:val="22"/>
        </w:rPr>
      </w:pPr>
      <w:r>
        <w:rPr>
          <w:b/>
          <w:color w:val="FF0000"/>
        </w:rPr>
        <w:t xml:space="preserve">H8 - </w:t>
      </w:r>
      <w:r w:rsidRPr="001B220A">
        <w:rPr>
          <w:sz w:val="22"/>
          <w:szCs w:val="22"/>
          <w:highlight w:val="yellow"/>
        </w:rPr>
        <w:t>a non-European society that provides contrasts with British history</w:t>
      </w:r>
      <w:r w:rsidRPr="001B220A">
        <w:rPr>
          <w:sz w:val="22"/>
          <w:szCs w:val="22"/>
        </w:rPr>
        <w:t xml:space="preserve"> – one study chosen from: early Islamic civilization, including a study of Baghdad c. AD 900; </w:t>
      </w:r>
      <w:r w:rsidRPr="001B220A">
        <w:rPr>
          <w:sz w:val="22"/>
          <w:szCs w:val="22"/>
          <w:highlight w:val="yellow"/>
        </w:rPr>
        <w:t>Mayan civilization</w:t>
      </w:r>
      <w:r w:rsidRPr="001B220A">
        <w:rPr>
          <w:sz w:val="22"/>
          <w:szCs w:val="22"/>
        </w:rPr>
        <w:t xml:space="preserve"> c. AD 900; Benin (West Africa) c. AD 900-1300.</w:t>
      </w:r>
      <w:r>
        <w:rPr>
          <w:sz w:val="22"/>
          <w:szCs w:val="22"/>
        </w:rPr>
        <w:t xml:space="preserve"> </w:t>
      </w:r>
      <w:proofErr w:type="gramStart"/>
      <w:r w:rsidRPr="001B220A">
        <w:rPr>
          <w:sz w:val="22"/>
          <w:szCs w:val="22"/>
          <w:highlight w:val="yellow"/>
        </w:rPr>
        <w:t>The Aztecs.</w:t>
      </w:r>
      <w:proofErr w:type="gramEnd"/>
    </w:p>
    <w:p w:rsidR="009214A8" w:rsidRDefault="009214A8"/>
    <w:sectPr w:rsidR="009214A8" w:rsidSect="001B22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0A"/>
    <w:rsid w:val="001B220A"/>
    <w:rsid w:val="006B55F5"/>
    <w:rsid w:val="00921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0A"/>
    <w:pPr>
      <w:spacing w:after="240" w:line="288" w:lineRule="auto"/>
    </w:pPr>
    <w:rPr>
      <w:rFonts w:ascii="Arial" w:eastAsia="Times New Roman" w:hAnsi="Arial" w:cs="Times New Roman"/>
      <w:sz w:val="24"/>
      <w:szCs w:val="24"/>
      <w:lang w:eastAsia="en-GB"/>
    </w:rPr>
  </w:style>
  <w:style w:type="paragraph" w:styleId="Heading3">
    <w:name w:val="heading 3"/>
    <w:basedOn w:val="Normal"/>
    <w:next w:val="Normal"/>
    <w:link w:val="Heading3Char"/>
    <w:qFormat/>
    <w:rsid w:val="001B220A"/>
    <w:pPr>
      <w:keepNext/>
      <w:spacing w:before="240" w:after="120"/>
      <w:outlineLvl w:val="2"/>
    </w:pPr>
    <w:rPr>
      <w:b/>
      <w:bCs/>
      <w:color w:val="104F75"/>
      <w:sz w:val="28"/>
      <w:szCs w:val="28"/>
      <w:lang w:eastAsia="en-US"/>
    </w:rPr>
  </w:style>
  <w:style w:type="paragraph" w:styleId="Heading4">
    <w:name w:val="heading 4"/>
    <w:basedOn w:val="Normal"/>
    <w:next w:val="Normal"/>
    <w:link w:val="Heading4Char"/>
    <w:qFormat/>
    <w:rsid w:val="001B220A"/>
    <w:pPr>
      <w:keepNext/>
      <w:spacing w:before="240" w:after="60"/>
      <w:outlineLvl w:val="3"/>
    </w:pPr>
    <w:rPr>
      <w:b/>
      <w:bCs/>
      <w:color w:val="104F75"/>
      <w:szCs w:val="28"/>
      <w:lang w:eastAsia="en-US"/>
    </w:rPr>
  </w:style>
  <w:style w:type="paragraph" w:styleId="Heading5">
    <w:name w:val="heading 5"/>
    <w:basedOn w:val="Heading4"/>
    <w:next w:val="Normal"/>
    <w:link w:val="Heading5Char"/>
    <w:qFormat/>
    <w:rsid w:val="001B220A"/>
    <w:pPr>
      <w:spacing w:before="120"/>
      <w:outlineLvl w:val="4"/>
    </w:pPr>
    <w:rPr>
      <w:bCs w:val="0"/>
      <w:iCs/>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B220A"/>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1B220A"/>
    <w:rPr>
      <w:rFonts w:ascii="Arial" w:eastAsia="Times New Roman" w:hAnsi="Arial" w:cs="Times New Roman"/>
      <w:b/>
      <w:bCs/>
      <w:color w:val="104F75"/>
      <w:sz w:val="24"/>
      <w:szCs w:val="28"/>
    </w:rPr>
  </w:style>
  <w:style w:type="character" w:customStyle="1" w:styleId="Heading5Char">
    <w:name w:val="Heading 5 Char"/>
    <w:basedOn w:val="DefaultParagraphFont"/>
    <w:link w:val="Heading5"/>
    <w:rsid w:val="001B220A"/>
    <w:rPr>
      <w:rFonts w:ascii="Arial" w:eastAsia="Times New Roman" w:hAnsi="Arial" w:cs="Times New Roman"/>
      <w:b/>
      <w:iCs/>
      <w:sz w:val="24"/>
      <w:szCs w:val="26"/>
    </w:rPr>
  </w:style>
  <w:style w:type="paragraph" w:customStyle="1" w:styleId="bulletundertext">
    <w:name w:val="bullet (under text)"/>
    <w:rsid w:val="001B220A"/>
    <w:pPr>
      <w:numPr>
        <w:numId w:val="1"/>
      </w:numPr>
      <w:spacing w:after="240" w:line="288" w:lineRule="auto"/>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0A"/>
    <w:pPr>
      <w:spacing w:after="240" w:line="288" w:lineRule="auto"/>
    </w:pPr>
    <w:rPr>
      <w:rFonts w:ascii="Arial" w:eastAsia="Times New Roman" w:hAnsi="Arial" w:cs="Times New Roman"/>
      <w:sz w:val="24"/>
      <w:szCs w:val="24"/>
      <w:lang w:eastAsia="en-GB"/>
    </w:rPr>
  </w:style>
  <w:style w:type="paragraph" w:styleId="Heading3">
    <w:name w:val="heading 3"/>
    <w:basedOn w:val="Normal"/>
    <w:next w:val="Normal"/>
    <w:link w:val="Heading3Char"/>
    <w:qFormat/>
    <w:rsid w:val="001B220A"/>
    <w:pPr>
      <w:keepNext/>
      <w:spacing w:before="240" w:after="120"/>
      <w:outlineLvl w:val="2"/>
    </w:pPr>
    <w:rPr>
      <w:b/>
      <w:bCs/>
      <w:color w:val="104F75"/>
      <w:sz w:val="28"/>
      <w:szCs w:val="28"/>
      <w:lang w:eastAsia="en-US"/>
    </w:rPr>
  </w:style>
  <w:style w:type="paragraph" w:styleId="Heading4">
    <w:name w:val="heading 4"/>
    <w:basedOn w:val="Normal"/>
    <w:next w:val="Normal"/>
    <w:link w:val="Heading4Char"/>
    <w:qFormat/>
    <w:rsid w:val="001B220A"/>
    <w:pPr>
      <w:keepNext/>
      <w:spacing w:before="240" w:after="60"/>
      <w:outlineLvl w:val="3"/>
    </w:pPr>
    <w:rPr>
      <w:b/>
      <w:bCs/>
      <w:color w:val="104F75"/>
      <w:szCs w:val="28"/>
      <w:lang w:eastAsia="en-US"/>
    </w:rPr>
  </w:style>
  <w:style w:type="paragraph" w:styleId="Heading5">
    <w:name w:val="heading 5"/>
    <w:basedOn w:val="Heading4"/>
    <w:next w:val="Normal"/>
    <w:link w:val="Heading5Char"/>
    <w:qFormat/>
    <w:rsid w:val="001B220A"/>
    <w:pPr>
      <w:spacing w:before="120"/>
      <w:outlineLvl w:val="4"/>
    </w:pPr>
    <w:rPr>
      <w:bCs w:val="0"/>
      <w:iCs/>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B220A"/>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1B220A"/>
    <w:rPr>
      <w:rFonts w:ascii="Arial" w:eastAsia="Times New Roman" w:hAnsi="Arial" w:cs="Times New Roman"/>
      <w:b/>
      <w:bCs/>
      <w:color w:val="104F75"/>
      <w:sz w:val="24"/>
      <w:szCs w:val="28"/>
    </w:rPr>
  </w:style>
  <w:style w:type="character" w:customStyle="1" w:styleId="Heading5Char">
    <w:name w:val="Heading 5 Char"/>
    <w:basedOn w:val="DefaultParagraphFont"/>
    <w:link w:val="Heading5"/>
    <w:rsid w:val="001B220A"/>
    <w:rPr>
      <w:rFonts w:ascii="Arial" w:eastAsia="Times New Roman" w:hAnsi="Arial" w:cs="Times New Roman"/>
      <w:b/>
      <w:iCs/>
      <w:sz w:val="24"/>
      <w:szCs w:val="26"/>
    </w:rPr>
  </w:style>
  <w:style w:type="paragraph" w:customStyle="1" w:styleId="bulletundertext">
    <w:name w:val="bullet (under text)"/>
    <w:rsid w:val="001B220A"/>
    <w:pPr>
      <w:numPr>
        <w:numId w:val="1"/>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625</Words>
  <Characters>3568</Characters>
  <Application>Microsoft Office Word</Application>
  <DocSecurity>0</DocSecurity>
  <Lines>29</Lines>
  <Paragraphs>8</Paragraphs>
  <ScaleCrop>false</ScaleCrop>
  <Company>St Peters Cowfold</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Kolter</dc:creator>
  <cp:lastModifiedBy>Giles Kolter</cp:lastModifiedBy>
  <cp:revision>2</cp:revision>
  <dcterms:created xsi:type="dcterms:W3CDTF">2017-02-14T13:36:00Z</dcterms:created>
  <dcterms:modified xsi:type="dcterms:W3CDTF">2017-02-14T13:51:00Z</dcterms:modified>
</cp:coreProperties>
</file>